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广东安评检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测中心有限公司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广东安评检测中心有限公司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刁雯霞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400万元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惠州市江北32号小区（传送中心江北综合楼）10楼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650.6平方米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1.冶金、建材；2.化工、石化及医药；3.机械、设备、电器制造业；4.运输、仓储、科研、农林、公共服务业。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6AB4874"/>
    <w:rsid w:val="0BC97095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376E3959"/>
    <w:rsid w:val="3A066708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  <w:rsid w:val="7F691774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2016-05-31T07:46:15Z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