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Style w:val="14"/>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14"/>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附件4</w:t>
      </w:r>
    </w:p>
    <w:p>
      <w:pPr>
        <w:pStyle w:val="10"/>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32"/>
          <w:szCs w:val="32"/>
        </w:rPr>
      </w:pPr>
      <w:bookmarkStart w:id="0" w:name="_GoBack"/>
      <w:r>
        <w:rPr>
          <w:rFonts w:hint="eastAsia" w:ascii="黑体" w:hAnsi="黑体" w:eastAsia="黑体" w:cs="黑体"/>
          <w:sz w:val="32"/>
          <w:szCs w:val="32"/>
        </w:rPr>
        <w:t>工贸企业二级安全生产标准化负责现场评审的单位评审技术人员专业能力配备标准</w:t>
      </w:r>
      <w:bookmarkEnd w:id="0"/>
    </w:p>
    <w:tbl>
      <w:tblPr>
        <w:tblStyle w:val="12"/>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04"/>
        <w:gridCol w:w="966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专业领域</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专业能力要求</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相关学科基础专业</w:t>
            </w:r>
          </w:p>
        </w:tc>
        <w:tc>
          <w:tcPr>
            <w:tcW w:w="1988"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冶金</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1名人员专业能力要求为“黑色金属材料类”。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auto"/>
                <w:sz w:val="21"/>
                <w:szCs w:val="21"/>
                <w:highlight w:val="none"/>
              </w:rPr>
              <w:t>黑色金属材料类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黑色冶金技术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轧钢工程技术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钢铁冶金设备应用技术</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有色</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1名人员专业能力要求为“有色金属材料类”。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333333"/>
                <w:spacing w:val="8"/>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有色金属材料类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kern w:val="0"/>
                <w:sz w:val="21"/>
                <w:szCs w:val="21"/>
                <w:highlight w:val="none"/>
              </w:rPr>
              <w:t>有色冶金技术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有色冶金设备应用技术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金属压力加工</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金属精密成型技术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粉体材料科学与工程</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建材</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9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 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建材类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建筑材料工程技术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建筑装饰材料技术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新型建筑材料技术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高分子材料与工程</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材料物理</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材料化学</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复合材料与工程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rPr>
              <w:t>机械</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安全类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9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color w:val="auto"/>
                <w:sz w:val="21"/>
                <w:szCs w:val="21"/>
                <w:highlight w:val="none"/>
                <w:lang w:eastAsia="zh-CN"/>
              </w:rPr>
              <w:t>本行业</w:t>
            </w:r>
            <w:r>
              <w:rPr>
                <w:rFonts w:hint="eastAsia" w:ascii="仿宋_GB2312" w:hAnsi="仿宋_GB2312" w:eastAsia="仿宋_GB2312" w:cs="仿宋_GB2312"/>
                <w:color w:val="auto"/>
                <w:sz w:val="21"/>
                <w:szCs w:val="21"/>
                <w:highlight w:val="none"/>
                <w:lang w:val="en-US" w:eastAsia="zh-CN"/>
              </w:rPr>
              <w:t>3名</w:t>
            </w:r>
            <w:r>
              <w:rPr>
                <w:rFonts w:hint="eastAsia" w:ascii="仿宋_GB2312" w:hAnsi="仿宋_GB2312" w:eastAsia="仿宋_GB2312" w:cs="仿宋_GB2312"/>
                <w:color w:val="auto"/>
                <w:sz w:val="21"/>
                <w:szCs w:val="21"/>
                <w:highlight w:val="none"/>
                <w:lang w:eastAsia="zh-CN"/>
              </w:rPr>
              <w:t>评审技术人员的</w:t>
            </w:r>
            <w:r>
              <w:rPr>
                <w:rFonts w:hint="eastAsia" w:ascii="仿宋_GB2312" w:hAnsi="仿宋_GB2312" w:eastAsia="仿宋_GB2312" w:cs="仿宋_GB2312"/>
                <w:color w:val="auto"/>
                <w:sz w:val="21"/>
                <w:szCs w:val="21"/>
                <w:highlight w:val="none"/>
                <w:lang w:val="en-US" w:eastAsia="zh-CN"/>
              </w:rPr>
              <w:t>专业能力最多只能有1名人员专业能力要求为“安全类”。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rPr>
              <w:t>机械设计制造类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kern w:val="0"/>
                <w:sz w:val="21"/>
                <w:szCs w:val="21"/>
                <w:highlight w:val="none"/>
              </w:rPr>
              <w:t>机械设计与制造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机械制造与自动化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数控技术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精密机械技术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特种加工技术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材料成型与控制技术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材料成型及控制工程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金属材料与热处理技术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铸造技术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锻压技术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模具设计与制造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电机与电器技术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电线电缆制造技术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内燃机制造与维修</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机械装备制造技术</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机电设备类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自动化生产设备应用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光电制造与应用技术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光电信息科学与工程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新能源装备技术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自动化类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工业过程自动化技术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智能控制技术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电子信息工程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液压与气动技术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电梯工程技术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工业机器人技术</w:t>
            </w:r>
            <w:r>
              <w:rPr>
                <w:rFonts w:hint="eastAsia" w:ascii="仿宋_GB2312" w:hAnsi="仿宋_GB2312" w:eastAsia="仿宋_GB2312" w:cs="仿宋_GB2312"/>
                <w:kern w:val="0"/>
                <w:sz w:val="21"/>
                <w:szCs w:val="21"/>
                <w:highlight w:val="none"/>
                <w:lang w:val="en-US" w:eastAsia="zh-CN"/>
              </w:rPr>
              <w:t>/</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轻工</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rPr>
            </w:pPr>
            <w:r>
              <w:rPr>
                <w:rFonts w:hint="eastAsia" w:ascii="仿宋_GB2312" w:hAnsi="仿宋_GB2312" w:eastAsia="仿宋_GB2312" w:cs="仿宋_GB2312"/>
                <w:b/>
                <w:bCs/>
                <w:color w:val="000000"/>
                <w:sz w:val="21"/>
                <w:szCs w:val="21"/>
                <w:highlight w:val="none"/>
              </w:rPr>
              <w:t>轻化工类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高分子材料加工技术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制浆造纸技术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轻化工程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家具设计与制造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皮具制作与工艺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鞋类设计与工艺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乐器制造与维护</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陶瓷制造工艺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纺织</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纺织服装类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现代纺织技术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丝绸技术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染整技术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纺织机电技术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针织技术与针织服装</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皮革服装制作与工艺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烟草</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农业类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pacing w:val="-4"/>
                <w:kern w:val="0"/>
                <w:sz w:val="21"/>
                <w:szCs w:val="21"/>
                <w:highlight w:val="none"/>
              </w:rPr>
              <w:t>烟草栽培与加工</w:t>
            </w:r>
            <w:r>
              <w:rPr>
                <w:rFonts w:hint="eastAsia" w:ascii="仿宋_GB2312" w:hAnsi="仿宋_GB2312" w:eastAsia="仿宋_GB2312" w:cs="仿宋_GB2312"/>
                <w:spacing w:val="-4"/>
                <w:kern w:val="0"/>
                <w:sz w:val="21"/>
                <w:szCs w:val="21"/>
                <w:highlight w:val="none"/>
                <w:lang w:val="en-US" w:eastAsia="zh-CN"/>
              </w:rPr>
              <w:t>/</w:t>
            </w:r>
            <w:r>
              <w:rPr>
                <w:rFonts w:hint="eastAsia" w:ascii="仿宋_GB2312" w:hAnsi="仿宋_GB2312" w:eastAsia="仿宋_GB2312" w:cs="仿宋_GB2312"/>
                <w:kern w:val="0"/>
                <w:sz w:val="21"/>
                <w:szCs w:val="21"/>
                <w:highlight w:val="none"/>
              </w:rPr>
              <w:t>植物科学与技术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农学</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商贸</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安全工程/工业工程/安全技术与管理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color w:val="auto"/>
                <w:kern w:val="2"/>
                <w:sz w:val="30"/>
                <w:szCs w:val="30"/>
                <w:lang w:val="en-US" w:eastAsia="zh-CN" w:bidi="ar-SA"/>
              </w:rPr>
            </w:pPr>
            <w:r>
              <w:rPr>
                <w:rFonts w:hint="eastAsia" w:ascii="仿宋_GB2312" w:hAnsi="仿宋_GB2312" w:eastAsia="仿宋_GB2312" w:cs="仿宋_GB2312"/>
                <w:b/>
                <w:bCs/>
                <w:color w:val="auto"/>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color w:val="auto"/>
                <w:kern w:val="2"/>
                <w:sz w:val="30"/>
                <w:szCs w:val="30"/>
                <w:lang w:val="en-US" w:eastAsia="zh-CN" w:bidi="ar-SA"/>
              </w:rPr>
            </w:pPr>
            <w:r>
              <w:rPr>
                <w:rFonts w:hint="eastAsia" w:ascii="仿宋_GB2312" w:hAnsi="仿宋_GB2312" w:eastAsia="仿宋_GB2312" w:cs="仿宋_GB2312"/>
                <w:b/>
                <w:bCs/>
                <w:color w:val="auto"/>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 xml:space="preserve">     消防类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消防工程技术/消防工程/安全技术与管理/安全工程</w:t>
            </w:r>
          </w:p>
        </w:tc>
        <w:tc>
          <w:tcPr>
            <w:tcW w:w="1988" w:type="dxa"/>
            <w:vMerge w:val="continue"/>
            <w:vAlign w:val="center"/>
          </w:tcPr>
          <w:p>
            <w:pPr>
              <w:jc w:val="left"/>
              <w:rPr>
                <w:rFonts w:hint="eastAsia" w:ascii="仿宋_GB2312" w:hAnsi="仿宋_GB2312" w:eastAsia="仿宋_GB2312" w:cs="仿宋_GB2312"/>
                <w:sz w:val="21"/>
                <w:szCs w:val="21"/>
                <w:highlight w:val="none"/>
                <w:lang w:val="en-US" w:eastAsia="zh-CN"/>
              </w:rPr>
            </w:pPr>
          </w:p>
        </w:tc>
      </w:tr>
    </w:tbl>
    <w:p/>
    <w:p>
      <w:pPr>
        <w:keepNext w:val="0"/>
        <w:keepLines w:val="0"/>
        <w:pageBreakBefore w:val="0"/>
        <w:widowControl w:val="0"/>
        <w:kinsoku/>
        <w:wordWrap/>
        <w:overflowPunct/>
        <w:topLinePunct w:val="0"/>
        <w:autoSpaceDE/>
        <w:autoSpaceDN/>
        <w:bidi w:val="0"/>
        <w:adjustRightInd/>
        <w:snapToGrid/>
        <w:spacing w:line="280" w:lineRule="exact"/>
        <w:ind w:left="1202" w:leftChars="190" w:hanging="803" w:hangingChars="4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备注：1.本表收录的基础专业主要依据教育部1993年、1998年和2012年颁布的《普通高等学校本科专业目录》，以及</w:t>
      </w:r>
      <w:r>
        <w:rPr>
          <w:rFonts w:hint="eastAsia" w:ascii="仿宋_GB2312" w:hAnsi="仿宋_GB2312" w:eastAsia="仿宋_GB2312" w:cs="仿宋_GB2312"/>
          <w:b/>
          <w:bCs/>
          <w:sz w:val="20"/>
          <w:szCs w:val="20"/>
          <w:highlight w:val="none"/>
          <w:vertAlign w:val="baseline"/>
          <w:lang w:val="en-US" w:eastAsia="zh-CN"/>
        </w:rPr>
        <w:t>2015年颁布的《</w:t>
      </w:r>
      <w:r>
        <w:rPr>
          <w:rFonts w:hint="eastAsia" w:ascii="仿宋_GB2312" w:hAnsi="仿宋_GB2312" w:eastAsia="仿宋_GB2312" w:cs="仿宋_GB2312"/>
          <w:b/>
          <w:bCs/>
          <w:sz w:val="20"/>
          <w:szCs w:val="20"/>
          <w:highlight w:val="none"/>
          <w:vertAlign w:val="baseline"/>
          <w:lang w:eastAsia="zh-CN"/>
        </w:rPr>
        <w:t>普通高等学校高等职业教育（专科）专业目录（2015年）</w:t>
      </w:r>
      <w:r>
        <w:rPr>
          <w:rFonts w:hint="eastAsia" w:ascii="仿宋_GB2312" w:hAnsi="仿宋_GB2312" w:eastAsia="仿宋_GB2312" w:cs="仿宋_GB2312"/>
          <w:b/>
          <w:bCs/>
          <w:sz w:val="20"/>
          <w:szCs w:val="20"/>
          <w:highlight w:val="none"/>
          <w:vertAlign w:val="baseline"/>
          <w:lang w:val="en-US" w:eastAsia="zh-CN"/>
        </w:rPr>
        <w:t>》，</w:t>
      </w:r>
      <w:r>
        <w:rPr>
          <w:rFonts w:hint="eastAsia" w:ascii="仿宋_GB2312" w:hAnsi="仿宋_GB2312" w:eastAsia="仿宋_GB2312" w:cs="仿宋_GB2312"/>
          <w:b/>
          <w:bCs/>
          <w:sz w:val="20"/>
          <w:szCs w:val="20"/>
          <w:highlight w:val="none"/>
          <w:vertAlign w:val="baseline"/>
          <w:lang w:eastAsia="zh-CN"/>
        </w:rPr>
        <w:t>经教育部认可的海外学历学位证明、研究生招生专业等可等同参照执行。</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 xml:space="preserve"> 2</w:t>
      </w:r>
      <w:r>
        <w:rPr>
          <w:rFonts w:hint="eastAsia" w:ascii="仿宋_GB2312" w:hAnsi="仿宋_GB2312" w:eastAsia="仿宋_GB2312" w:cs="仿宋_GB2312"/>
          <w:b/>
          <w:bCs/>
          <w:sz w:val="20"/>
          <w:szCs w:val="20"/>
          <w:highlight w:val="none"/>
          <w:vertAlign w:val="baseline"/>
          <w:lang w:eastAsia="zh-CN"/>
        </w:rPr>
        <w:t>.评审技术人员专业能力可通过普通高等院校学历、学位证书，中级以上专业技术职称或学术专著、科技发明、科技进步奖、发表的论</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文等予以认定。学术专著指正式出版的原创著作；科技发明应已取得国家发明专利；标准应为现行有效的国家标准、行业标准或地</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方标准；科技进步奖为国家或省部级科技进步奖；论文应已在国家级核心期刊上正式发表。</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3</w:t>
      </w:r>
      <w:r>
        <w:rPr>
          <w:rFonts w:hint="eastAsia" w:ascii="仿宋_GB2312" w:hAnsi="仿宋_GB2312" w:eastAsia="仿宋_GB2312" w:cs="仿宋_GB2312"/>
          <w:b/>
          <w:bCs/>
          <w:sz w:val="20"/>
          <w:szCs w:val="20"/>
          <w:highlight w:val="none"/>
          <w:vertAlign w:val="baseline"/>
          <w:lang w:eastAsia="zh-CN"/>
        </w:rPr>
        <w:t>.每名评审技术人员可认定到</w:t>
      </w:r>
      <w:r>
        <w:rPr>
          <w:rFonts w:hint="eastAsia" w:ascii="仿宋_GB2312" w:hAnsi="仿宋_GB2312" w:eastAsia="仿宋_GB2312" w:cs="仿宋_GB2312"/>
          <w:b/>
          <w:bCs/>
          <w:sz w:val="20"/>
          <w:szCs w:val="20"/>
          <w:highlight w:val="none"/>
          <w:vertAlign w:val="baseline"/>
          <w:lang w:val="en-US" w:eastAsia="zh-CN"/>
        </w:rPr>
        <w:t>3个行业，但不能认定到同一行业。</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JkYWI1YmJkMTg0YmQ4YTk4NTBkOWNmNGRkOTQifQ=="/>
  </w:docVars>
  <w:rsids>
    <w:rsidRoot w:val="00000000"/>
    <w:rsid w:val="00EE3BAE"/>
    <w:rsid w:val="016D0035"/>
    <w:rsid w:val="02B20C36"/>
    <w:rsid w:val="030342BE"/>
    <w:rsid w:val="03075E61"/>
    <w:rsid w:val="041B2DAD"/>
    <w:rsid w:val="047A1C27"/>
    <w:rsid w:val="06C96EC9"/>
    <w:rsid w:val="09670057"/>
    <w:rsid w:val="0A9A5CE1"/>
    <w:rsid w:val="0C223D89"/>
    <w:rsid w:val="0CC45AAB"/>
    <w:rsid w:val="0CCA5146"/>
    <w:rsid w:val="0CFC317C"/>
    <w:rsid w:val="10613A0A"/>
    <w:rsid w:val="11153901"/>
    <w:rsid w:val="13A62AA4"/>
    <w:rsid w:val="164F3808"/>
    <w:rsid w:val="17A43BFD"/>
    <w:rsid w:val="1B404677"/>
    <w:rsid w:val="1B9962BD"/>
    <w:rsid w:val="1C951CE3"/>
    <w:rsid w:val="1D720D7D"/>
    <w:rsid w:val="1D8A652A"/>
    <w:rsid w:val="1DDF7A40"/>
    <w:rsid w:val="1F6F0182"/>
    <w:rsid w:val="1F7D6EE7"/>
    <w:rsid w:val="1FA11659"/>
    <w:rsid w:val="21682E26"/>
    <w:rsid w:val="21864E1D"/>
    <w:rsid w:val="21D94B79"/>
    <w:rsid w:val="23653BF9"/>
    <w:rsid w:val="23DE481E"/>
    <w:rsid w:val="24484780"/>
    <w:rsid w:val="24773FD8"/>
    <w:rsid w:val="26916AF2"/>
    <w:rsid w:val="27ED72D8"/>
    <w:rsid w:val="29BF64BD"/>
    <w:rsid w:val="2B057442"/>
    <w:rsid w:val="2CD755B9"/>
    <w:rsid w:val="2D9968C9"/>
    <w:rsid w:val="2DCA2A28"/>
    <w:rsid w:val="2FAF40A8"/>
    <w:rsid w:val="30B25529"/>
    <w:rsid w:val="310639C0"/>
    <w:rsid w:val="33501DAA"/>
    <w:rsid w:val="3540385D"/>
    <w:rsid w:val="3541380F"/>
    <w:rsid w:val="35C470A6"/>
    <w:rsid w:val="367D4727"/>
    <w:rsid w:val="37151C30"/>
    <w:rsid w:val="37C17683"/>
    <w:rsid w:val="387C64B5"/>
    <w:rsid w:val="390578DC"/>
    <w:rsid w:val="3BDD2667"/>
    <w:rsid w:val="3EBC701B"/>
    <w:rsid w:val="3EE03570"/>
    <w:rsid w:val="3F086863"/>
    <w:rsid w:val="3F9C04D8"/>
    <w:rsid w:val="3FD4693C"/>
    <w:rsid w:val="3FF25338"/>
    <w:rsid w:val="41575912"/>
    <w:rsid w:val="4174214E"/>
    <w:rsid w:val="43A966D6"/>
    <w:rsid w:val="454A22B8"/>
    <w:rsid w:val="467E4EA9"/>
    <w:rsid w:val="47DD593B"/>
    <w:rsid w:val="48E061D3"/>
    <w:rsid w:val="4A187581"/>
    <w:rsid w:val="4ADF6552"/>
    <w:rsid w:val="4CB701F8"/>
    <w:rsid w:val="4CE51E03"/>
    <w:rsid w:val="4E5F2502"/>
    <w:rsid w:val="4FB629B4"/>
    <w:rsid w:val="50367E07"/>
    <w:rsid w:val="50E44DFD"/>
    <w:rsid w:val="51054B9E"/>
    <w:rsid w:val="5315153D"/>
    <w:rsid w:val="53A876CC"/>
    <w:rsid w:val="5446604B"/>
    <w:rsid w:val="56B86403"/>
    <w:rsid w:val="598274D9"/>
    <w:rsid w:val="59F62185"/>
    <w:rsid w:val="5B146289"/>
    <w:rsid w:val="5B307FE1"/>
    <w:rsid w:val="5D7302DE"/>
    <w:rsid w:val="5E18686B"/>
    <w:rsid w:val="607E707A"/>
    <w:rsid w:val="61250D4C"/>
    <w:rsid w:val="63452838"/>
    <w:rsid w:val="63EF4B04"/>
    <w:rsid w:val="64D860A5"/>
    <w:rsid w:val="64E63914"/>
    <w:rsid w:val="661D620C"/>
    <w:rsid w:val="66C739CD"/>
    <w:rsid w:val="66EB2380"/>
    <w:rsid w:val="67064B36"/>
    <w:rsid w:val="67E7015E"/>
    <w:rsid w:val="68881CC2"/>
    <w:rsid w:val="693C65C0"/>
    <w:rsid w:val="697E5441"/>
    <w:rsid w:val="6AA80BCD"/>
    <w:rsid w:val="6AB002F9"/>
    <w:rsid w:val="6BD831BF"/>
    <w:rsid w:val="6F28705A"/>
    <w:rsid w:val="6F3B1F48"/>
    <w:rsid w:val="6F5578BA"/>
    <w:rsid w:val="6FBB31AB"/>
    <w:rsid w:val="70EF58CB"/>
    <w:rsid w:val="710254A0"/>
    <w:rsid w:val="710677EA"/>
    <w:rsid w:val="721E497B"/>
    <w:rsid w:val="728A1A2B"/>
    <w:rsid w:val="72A43A9C"/>
    <w:rsid w:val="740616BD"/>
    <w:rsid w:val="76F7541E"/>
    <w:rsid w:val="77B57E09"/>
    <w:rsid w:val="795D7D8E"/>
    <w:rsid w:val="798104C9"/>
    <w:rsid w:val="798973A7"/>
    <w:rsid w:val="79BF0C4D"/>
    <w:rsid w:val="7A002F34"/>
    <w:rsid w:val="7BBA1135"/>
    <w:rsid w:val="7E1B6D07"/>
    <w:rsid w:val="7E7670A4"/>
    <w:rsid w:val="7E8C108D"/>
    <w:rsid w:val="7F1E3F4E"/>
    <w:rsid w:val="7F524BFA"/>
    <w:rsid w:val="7FEB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autoRedefine/>
    <w:qFormat/>
    <w:uiPriority w:val="0"/>
    <w:pPr>
      <w:spacing w:before="200" w:beforeAutospacing="0" w:after="200" w:afterAutospacing="0" w:line="560" w:lineRule="exact"/>
      <w:ind w:firstLine="0" w:firstLineChars="0"/>
      <w:jc w:val="center"/>
      <w:outlineLvl w:val="0"/>
    </w:pPr>
    <w:rPr>
      <w:rFonts w:ascii="黑体" w:hAnsi="黑体" w:eastAsia="黑体" w:cs="宋体"/>
      <w:bCs/>
      <w:kern w:val="44"/>
      <w:szCs w:val="48"/>
      <w:lang w:bidi="ar"/>
    </w:rPr>
  </w:style>
  <w:style w:type="paragraph" w:styleId="4">
    <w:name w:val="heading 2"/>
    <w:basedOn w:val="1"/>
    <w:next w:val="1"/>
    <w:link w:val="16"/>
    <w:autoRedefine/>
    <w:semiHidden/>
    <w:unhideWhenUsed/>
    <w:qFormat/>
    <w:uiPriority w:val="0"/>
    <w:pPr>
      <w:keepNext/>
      <w:keepLines/>
      <w:spacing w:before="160" w:beforeLines="0" w:beforeAutospacing="0" w:after="160" w:afterLines="0" w:afterAutospacing="0" w:line="560" w:lineRule="exact"/>
      <w:ind w:firstLine="0" w:firstLineChars="0"/>
      <w:jc w:val="left"/>
      <w:outlineLvl w:val="1"/>
    </w:pPr>
    <w:rPr>
      <w:rFonts w:ascii="楷体_GB2312" w:hAnsi="楷体_GB2312" w:eastAsia="楷体_GB2312"/>
      <w:b/>
    </w:rPr>
  </w:style>
  <w:style w:type="paragraph" w:styleId="5">
    <w:name w:val="heading 3"/>
    <w:basedOn w:val="1"/>
    <w:next w:val="1"/>
    <w:link w:val="15"/>
    <w:autoRedefine/>
    <w:semiHidden/>
    <w:unhideWhenUsed/>
    <w:qFormat/>
    <w:uiPriority w:val="0"/>
    <w:pPr>
      <w:keepNext/>
      <w:keepLines/>
      <w:spacing w:before="100" w:beforeLines="0" w:beforeAutospacing="0" w:after="100" w:afterLines="0" w:afterAutospacing="0" w:line="560" w:lineRule="exact"/>
      <w:outlineLvl w:val="2"/>
    </w:pPr>
    <w:rPr>
      <w:rFonts w:eastAsia="仿宋_GB2312"/>
      <w:b/>
    </w:rPr>
  </w:style>
  <w:style w:type="paragraph" w:styleId="6">
    <w:name w:val="heading 4"/>
    <w:basedOn w:val="1"/>
    <w:next w:val="1"/>
    <w:link w:val="18"/>
    <w:autoRedefine/>
    <w:semiHidden/>
    <w:unhideWhenUsed/>
    <w:qFormat/>
    <w:uiPriority w:val="0"/>
    <w:pPr>
      <w:keepNext/>
      <w:keepLines/>
      <w:spacing w:beforeLines="0" w:beforeAutospacing="0" w:afterLines="0" w:afterAutospacing="0" w:line="560" w:lineRule="exact"/>
      <w:outlineLvl w:val="3"/>
    </w:pPr>
    <w:rPr>
      <w:b/>
    </w:rPr>
  </w:style>
  <w:style w:type="paragraph" w:styleId="7">
    <w:name w:val="heading 5"/>
    <w:basedOn w:val="1"/>
    <w:next w:val="8"/>
    <w:link w:val="19"/>
    <w:autoRedefine/>
    <w:semiHidden/>
    <w:unhideWhenUsed/>
    <w:qFormat/>
    <w:uiPriority w:val="0"/>
    <w:pPr>
      <w:keepNext/>
      <w:keepLines/>
      <w:spacing w:line="560" w:lineRule="exact"/>
      <w:ind w:firstLine="0" w:firstLineChars="0"/>
      <w:outlineLvl w:val="4"/>
    </w:pPr>
    <w:rPr>
      <w:rFonts w:ascii="宋体" w:hAnsi="宋体" w:eastAsia="宋体"/>
      <w:b/>
      <w:bCs/>
      <w:kern w:val="0"/>
      <w:szCs w:val="28"/>
    </w:rPr>
  </w:style>
  <w:style w:type="character" w:default="1" w:styleId="13">
    <w:name w:val="Default Paragraph Font"/>
    <w:autoRedefine/>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8">
    <w:name w:val="Normal Indent"/>
    <w:basedOn w:val="1"/>
    <w:autoRedefine/>
    <w:qFormat/>
    <w:uiPriority w:val="0"/>
    <w:pPr>
      <w:ind w:firstLine="420" w:firstLineChars="200"/>
    </w:pPr>
  </w:style>
  <w:style w:type="paragraph" w:styleId="9">
    <w:name w:val="Plain Text"/>
    <w:basedOn w:val="1"/>
    <w:autoRedefine/>
    <w:qFormat/>
    <w:uiPriority w:val="0"/>
    <w:rPr>
      <w:rFonts w:ascii="宋体" w:hAnsi="Courier New"/>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标题 3 字符"/>
    <w:link w:val="5"/>
    <w:autoRedefine/>
    <w:qFormat/>
    <w:uiPriority w:val="0"/>
    <w:rPr>
      <w:rFonts w:ascii="Times New Roman" w:hAnsi="Times New Roman" w:eastAsia="仿宋_GB2312"/>
      <w:b/>
      <w:sz w:val="32"/>
    </w:rPr>
  </w:style>
  <w:style w:type="character" w:customStyle="1" w:styleId="16">
    <w:name w:val="标题 2 字符"/>
    <w:basedOn w:val="13"/>
    <w:link w:val="4"/>
    <w:autoRedefine/>
    <w:qFormat/>
    <w:uiPriority w:val="0"/>
    <w:rPr>
      <w:rFonts w:ascii="楷体_GB2312" w:hAnsi="楷体_GB2312" w:eastAsia="楷体_GB2312" w:cs="Times New Roman"/>
      <w:b/>
      <w:sz w:val="32"/>
      <w:szCs w:val="24"/>
    </w:rPr>
  </w:style>
  <w:style w:type="character" w:customStyle="1" w:styleId="17">
    <w:name w:val="标题 1 字符"/>
    <w:link w:val="3"/>
    <w:autoRedefine/>
    <w:qFormat/>
    <w:uiPriority w:val="0"/>
    <w:rPr>
      <w:rFonts w:ascii="宋体" w:hAnsi="宋体" w:eastAsia="黑体" w:cs="宋体"/>
      <w:kern w:val="44"/>
      <w:sz w:val="32"/>
    </w:rPr>
  </w:style>
  <w:style w:type="character" w:customStyle="1" w:styleId="18">
    <w:name w:val="标题 4 Char"/>
    <w:link w:val="6"/>
    <w:autoRedefine/>
    <w:qFormat/>
    <w:uiPriority w:val="0"/>
    <w:rPr>
      <w:rFonts w:ascii="仿宋" w:hAnsi="仿宋" w:eastAsia="仿宋"/>
      <w:b/>
      <w:bCs/>
      <w:sz w:val="28"/>
      <w:szCs w:val="28"/>
    </w:rPr>
  </w:style>
  <w:style w:type="character" w:customStyle="1" w:styleId="19">
    <w:name w:val="标题 5 Char"/>
    <w:link w:val="7"/>
    <w:autoRedefine/>
    <w:qFormat/>
    <w:uiPriority w:val="0"/>
    <w:rPr>
      <w:rFonts w:ascii="宋体" w:hAnsi="宋体" w:eastAsia="宋体"/>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2022-09-20T01:48:00Z</dcterms:created>
  <dc:creator>Administrator</dc:creator>
  <cp:lastModifiedBy>ZLH</cp:lastModifiedBy>
  <dcterms:modified xsi:type="dcterms:W3CDTF">2024-02-19T09:05:57Z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BEB963D76AE641DA9DC9DD16F90A65C7</vt:lpwstr>
  </property>
</Properties>
</file>