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Lines="0" w:line="580" w:lineRule="exact"/>
        <w:ind w:left="0" w:leftChars="0"/>
        <w:jc w:val="both"/>
        <w:textAlignment w:val="auto"/>
        <w:rPr>
          <w:rFonts w:hint="eastAsia" w:ascii="仿宋" w:hAnsi="仿宋" w:eastAsia="仿宋" w:cs="仿宋"/>
          <w:b w:val="0"/>
          <w:bCs w:val="0"/>
          <w:sz w:val="32"/>
          <w:szCs w:val="32"/>
          <w:highlight w:val="none"/>
          <w:lang w:eastAsia="zh-CN"/>
        </w:rPr>
      </w:pPr>
      <w:bookmarkStart w:id="0" w:name="_GoBack"/>
      <w:bookmarkEnd w:id="0"/>
    </w:p>
    <w:p>
      <w:pPr>
        <w:keepNext w:val="0"/>
        <w:keepLines w:val="0"/>
        <w:pageBreakBefore w:val="0"/>
        <w:widowControl w:val="0"/>
        <w:kinsoku/>
        <w:wordWrap/>
        <w:overflowPunct w:val="0"/>
        <w:topLinePunct w:val="0"/>
        <w:autoSpaceDE/>
        <w:autoSpaceDN/>
        <w:bidi w:val="0"/>
        <w:adjustRightInd/>
        <w:snapToGrid/>
        <w:spacing w:afterLines="0" w:line="51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广东省应急管理厅企业安全生产标准化</w:t>
      </w:r>
    </w:p>
    <w:p>
      <w:pPr>
        <w:keepNext w:val="0"/>
        <w:keepLines w:val="0"/>
        <w:pageBreakBefore w:val="0"/>
        <w:widowControl w:val="0"/>
        <w:kinsoku/>
        <w:wordWrap/>
        <w:overflowPunct w:val="0"/>
        <w:topLinePunct w:val="0"/>
        <w:autoSpaceDE/>
        <w:autoSpaceDN/>
        <w:bidi w:val="0"/>
        <w:adjustRightInd/>
        <w:snapToGrid/>
        <w:spacing w:afterLines="0" w:line="510" w:lineRule="exact"/>
        <w:jc w:val="center"/>
        <w:textAlignment w:val="auto"/>
        <w:rPr>
          <w:rFonts w:hint="eastAsia" w:ascii="楷体" w:hAnsi="楷体" w:eastAsia="楷体" w:cs="楷体"/>
          <w:color w:val="auto"/>
          <w:sz w:val="32"/>
          <w:szCs w:val="32"/>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建设定级管理办法</w:t>
      </w:r>
    </w:p>
    <w:p>
      <w:pPr>
        <w:keepNext w:val="0"/>
        <w:keepLines w:val="0"/>
        <w:pageBreakBefore w:val="0"/>
        <w:widowControl w:val="0"/>
        <w:kinsoku/>
        <w:wordWrap/>
        <w:overflowPunct w:val="0"/>
        <w:topLinePunct w:val="0"/>
        <w:autoSpaceDE/>
        <w:autoSpaceDN/>
        <w:bidi w:val="0"/>
        <w:spacing w:afterLines="0" w:line="510" w:lineRule="exact"/>
        <w:ind w:firstLine="640" w:firstLineChars="200"/>
        <w:jc w:val="both"/>
        <w:textAlignment w:val="auto"/>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val="0"/>
        <w:topLinePunct w:val="0"/>
        <w:autoSpaceDE/>
        <w:autoSpaceDN/>
        <w:bidi w:val="0"/>
        <w:spacing w:after="0" w:afterLines="0" w:line="510" w:lineRule="exact"/>
        <w:ind w:firstLine="0" w:firstLineChars="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第一章 总则</w:t>
      </w:r>
    </w:p>
    <w:p>
      <w:pPr>
        <w:keepNext w:val="0"/>
        <w:keepLines w:val="0"/>
        <w:pageBreakBefore w:val="0"/>
        <w:widowControl w:val="0"/>
        <w:kinsoku/>
        <w:wordWrap/>
        <w:overflowPunct w:val="0"/>
        <w:topLinePunct w:val="0"/>
        <w:autoSpaceDE/>
        <w:autoSpaceDN/>
        <w:bidi w:val="0"/>
        <w:spacing w:after="0" w:afterLines="0" w:line="510" w:lineRule="exact"/>
        <w:ind w:firstLine="0" w:firstLineChars="0"/>
        <w:jc w:val="center"/>
        <w:textAlignment w:val="auto"/>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val="0"/>
        <w:topLinePunct w:val="0"/>
        <w:autoSpaceDE/>
        <w:autoSpaceDN/>
        <w:bidi w:val="0"/>
        <w:spacing w:afterLines="0" w:line="51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第一条</w:t>
      </w:r>
      <w:r>
        <w:rPr>
          <w:rFonts w:hint="eastAsia" w:ascii="仿宋" w:hAnsi="仿宋" w:eastAsia="仿宋" w:cs="仿宋"/>
          <w:color w:val="auto"/>
          <w:sz w:val="32"/>
          <w:szCs w:val="32"/>
          <w:highlight w:val="none"/>
          <w:lang w:val="en-US" w:eastAsia="zh-CN"/>
        </w:rPr>
        <w:t xml:space="preserve"> 为进一步规范和促进我省企业开展安全生产标准化（以下简称“标准化”）建设，推动企业有效落实安全生产主体责任，建立持续有效运转的安全生产标准化管理体系，不断提升安全管理水平，根据应急管理部《企业安全生产标准化建设定级办法》（应急</w:t>
      </w: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21</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83号）规定，结合我省实际，制定本办法。</w:t>
      </w:r>
    </w:p>
    <w:p>
      <w:pPr>
        <w:keepNext w:val="0"/>
        <w:keepLines w:val="0"/>
        <w:pageBreakBefore w:val="0"/>
        <w:widowControl w:val="0"/>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highlight w:val="none"/>
        </w:rPr>
      </w:pPr>
      <w:r>
        <w:rPr>
          <w:rFonts w:hint="eastAsia" w:ascii="黑体" w:hAnsi="黑体" w:eastAsia="黑体" w:cs="黑体"/>
          <w:b w:val="0"/>
          <w:bCs w:val="0"/>
          <w:color w:val="auto"/>
          <w:sz w:val="32"/>
          <w:szCs w:val="32"/>
          <w:highlight w:val="none"/>
          <w:lang w:val="en-US" w:eastAsia="zh-CN"/>
        </w:rPr>
        <w:t>第二条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本办法适用于</w:t>
      </w:r>
      <w:r>
        <w:rPr>
          <w:rFonts w:hint="eastAsia" w:ascii="仿宋" w:hAnsi="仿宋" w:eastAsia="仿宋" w:cs="仿宋"/>
          <w:color w:val="auto"/>
          <w:sz w:val="32"/>
          <w:szCs w:val="32"/>
          <w:highlight w:val="none"/>
          <w:lang w:val="en-US" w:eastAsia="zh-CN"/>
        </w:rPr>
        <w:t>广东</w:t>
      </w:r>
      <w:r>
        <w:rPr>
          <w:rFonts w:hint="eastAsia" w:ascii="仿宋" w:hAnsi="仿宋" w:eastAsia="仿宋" w:cs="仿宋"/>
          <w:color w:val="auto"/>
          <w:sz w:val="32"/>
          <w:szCs w:val="32"/>
          <w:highlight w:val="none"/>
        </w:rPr>
        <w:t>省内</w:t>
      </w:r>
      <w:r>
        <w:rPr>
          <w:rFonts w:hint="eastAsia" w:ascii="仿宋" w:hAnsi="仿宋" w:eastAsia="仿宋" w:cs="仿宋"/>
          <w:color w:val="auto"/>
          <w:sz w:val="32"/>
          <w:szCs w:val="32"/>
          <w:highlight w:val="none"/>
          <w:lang w:val="en-US" w:eastAsia="zh-CN"/>
        </w:rPr>
        <w:t>化工（含石油化工）、医药、危险化学品、烟花爆竹、石油开采、冶金、有色、建材、机械、轻工、纺织、烟草、商贸等行业企业（以下统称企业）。</w:t>
      </w:r>
      <w:r>
        <w:rPr>
          <w:rFonts w:hint="eastAsia" w:ascii="仿宋" w:hAnsi="仿宋" w:eastAsia="仿宋" w:cs="仿宋"/>
          <w:color w:val="auto"/>
          <w:sz w:val="32"/>
          <w:szCs w:val="32"/>
          <w:highlight w:val="none"/>
        </w:rPr>
        <w:t>国家另有规定的，按国家规定执行</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黑体" w:hAnsi="黑体" w:eastAsia="黑体" w:cs="黑体"/>
          <w:b w:val="0"/>
          <w:bCs w:val="0"/>
          <w:color w:val="auto"/>
          <w:sz w:val="32"/>
          <w:szCs w:val="32"/>
          <w:highlight w:val="none"/>
          <w:lang w:val="en-US" w:eastAsia="zh-CN"/>
        </w:rPr>
        <w:t>第三条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企业应</w:t>
      </w:r>
      <w:r>
        <w:rPr>
          <w:rFonts w:hint="eastAsia" w:ascii="仿宋" w:hAnsi="仿宋" w:eastAsia="仿宋" w:cs="仿宋"/>
          <w:color w:val="auto"/>
          <w:sz w:val="32"/>
          <w:szCs w:val="32"/>
          <w:highlight w:val="none"/>
          <w:lang w:eastAsia="zh-CN"/>
        </w:rPr>
        <w:t>当</w:t>
      </w:r>
      <w:r>
        <w:rPr>
          <w:rFonts w:hint="eastAsia" w:ascii="仿宋" w:hAnsi="仿宋" w:eastAsia="仿宋" w:cs="仿宋"/>
          <w:color w:val="auto"/>
          <w:sz w:val="32"/>
          <w:szCs w:val="32"/>
          <w:highlight w:val="none"/>
        </w:rPr>
        <w:t>按照</w:t>
      </w:r>
      <w:r>
        <w:rPr>
          <w:rFonts w:hint="eastAsia" w:ascii="仿宋" w:hAnsi="仿宋" w:eastAsia="仿宋" w:cs="仿宋"/>
          <w:color w:val="auto"/>
          <w:sz w:val="32"/>
          <w:szCs w:val="32"/>
          <w:highlight w:val="none"/>
          <w:lang w:val="en-US" w:eastAsia="zh-CN"/>
        </w:rPr>
        <w:t>有关</w:t>
      </w:r>
      <w:r>
        <w:rPr>
          <w:rFonts w:hint="eastAsia" w:ascii="仿宋" w:hAnsi="仿宋" w:eastAsia="仿宋" w:cs="仿宋"/>
          <w:color w:val="auto"/>
          <w:sz w:val="32"/>
          <w:szCs w:val="32"/>
          <w:highlight w:val="none"/>
        </w:rPr>
        <w:t>法律</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法规</w:t>
      </w:r>
      <w:r>
        <w:rPr>
          <w:rFonts w:hint="eastAsia" w:ascii="仿宋" w:hAnsi="仿宋" w:eastAsia="仿宋" w:cs="仿宋"/>
          <w:color w:val="auto"/>
          <w:sz w:val="32"/>
          <w:szCs w:val="32"/>
          <w:highlight w:val="none"/>
          <w:lang w:eastAsia="zh-CN"/>
        </w:rPr>
        <w:t>、规章、</w:t>
      </w:r>
      <w:r>
        <w:rPr>
          <w:rFonts w:hint="eastAsia" w:ascii="仿宋" w:hAnsi="仿宋" w:eastAsia="仿宋" w:cs="仿宋"/>
          <w:color w:val="auto"/>
          <w:sz w:val="32"/>
          <w:szCs w:val="32"/>
          <w:highlight w:val="none"/>
          <w:lang w:val="en-US" w:eastAsia="zh-CN"/>
        </w:rPr>
        <w:t>标准</w:t>
      </w:r>
      <w:r>
        <w:rPr>
          <w:rFonts w:hint="eastAsia" w:ascii="仿宋" w:hAnsi="仿宋" w:eastAsia="仿宋" w:cs="仿宋"/>
          <w:color w:val="auto"/>
          <w:sz w:val="32"/>
          <w:szCs w:val="32"/>
          <w:highlight w:val="none"/>
          <w:lang w:eastAsia="zh-CN"/>
        </w:rPr>
        <w:t>和</w:t>
      </w:r>
      <w:r>
        <w:rPr>
          <w:rFonts w:hint="eastAsia" w:ascii="仿宋" w:hAnsi="仿宋" w:eastAsia="仿宋" w:cs="仿宋"/>
          <w:color w:val="auto"/>
          <w:sz w:val="32"/>
          <w:szCs w:val="32"/>
          <w:highlight w:val="none"/>
          <w:lang w:val="en-US" w:eastAsia="zh-CN"/>
        </w:rPr>
        <w:t>我</w:t>
      </w:r>
      <w:r>
        <w:rPr>
          <w:rFonts w:hint="eastAsia" w:ascii="仿宋" w:hAnsi="仿宋" w:eastAsia="仿宋" w:cs="仿宋"/>
          <w:color w:val="auto"/>
          <w:sz w:val="32"/>
          <w:szCs w:val="32"/>
          <w:highlight w:val="none"/>
          <w:lang w:eastAsia="zh-CN"/>
        </w:rPr>
        <w:t>省有关规定，结合企业自身生产工艺、安全风险等，建立适合本企业的安全生产标准化管理体系，实现安全管理、操作行为、设备设施、作业环境的标准化</w:t>
      </w:r>
      <w:r>
        <w:rPr>
          <w:rFonts w:hint="eastAsia" w:ascii="仿宋" w:hAnsi="仿宋" w:eastAsia="仿宋" w:cs="仿宋"/>
          <w:color w:val="auto"/>
          <w:sz w:val="32"/>
          <w:szCs w:val="32"/>
          <w:highlight w:val="none"/>
          <w:lang w:val="en-US" w:eastAsia="zh-CN"/>
        </w:rPr>
        <w:t>体系创建</w:t>
      </w:r>
      <w:r>
        <w:rPr>
          <w:rFonts w:hint="eastAsia" w:ascii="仿宋" w:hAnsi="仿宋" w:eastAsia="仿宋" w:cs="仿宋"/>
          <w:color w:val="auto"/>
          <w:sz w:val="32"/>
          <w:szCs w:val="32"/>
          <w:highlight w:val="none"/>
          <w:lang w:eastAsia="zh-CN"/>
        </w:rPr>
        <w:t>并保持有效运行，持续改进，强化企业安全生产标准化的实效性。</w:t>
      </w:r>
      <w:r>
        <w:rPr>
          <w:rFonts w:hint="eastAsia" w:ascii="仿宋" w:hAnsi="仿宋" w:eastAsia="仿宋" w:cs="仿宋"/>
          <w:color w:val="auto"/>
          <w:sz w:val="32"/>
          <w:szCs w:val="32"/>
          <w:highlight w:val="none"/>
          <w:lang w:val="en-US" w:eastAsia="zh-CN"/>
        </w:rPr>
        <w:t>企业可以依据本办法自愿申请标准化定级。</w:t>
      </w:r>
    </w:p>
    <w:p>
      <w:pPr>
        <w:keepNext w:val="0"/>
        <w:keepLines w:val="0"/>
        <w:pageBreakBefore w:val="0"/>
        <w:widowControl w:val="0"/>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第四条</w:t>
      </w:r>
      <w:r>
        <w:rPr>
          <w:rFonts w:hint="eastAsia" w:ascii="仿宋" w:hAnsi="仿宋" w:eastAsia="仿宋" w:cs="仿宋"/>
          <w:color w:val="auto"/>
          <w:sz w:val="32"/>
          <w:szCs w:val="32"/>
          <w:highlight w:val="none"/>
          <w:lang w:val="en-US" w:eastAsia="zh-CN"/>
        </w:rPr>
        <w:t xml:space="preserve"> 企业标准化定级实行分级管理，由高到低分为一级、二级、三级。一级企业以及海洋石油全部等级企业由应急管理部定级。二级企业由广东省应急管理厅定级，三级企业由地级以上市应急管理部门定级。</w:t>
      </w:r>
    </w:p>
    <w:p>
      <w:pPr>
        <w:keepNext w:val="0"/>
        <w:keepLines w:val="0"/>
        <w:pageBreakBefore w:val="0"/>
        <w:widowControl w:val="0"/>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企业标准化定级标准由应急管理部按照行业分别制定。</w:t>
      </w:r>
    </w:p>
    <w:p>
      <w:pPr>
        <w:keepNext w:val="0"/>
        <w:keepLines w:val="0"/>
        <w:pageBreakBefore w:val="0"/>
        <w:widowControl w:val="0"/>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第五条  </w:t>
      </w:r>
      <w:r>
        <w:rPr>
          <w:rFonts w:hint="eastAsia" w:ascii="仿宋" w:hAnsi="仿宋" w:eastAsia="仿宋" w:cs="仿宋"/>
          <w:color w:val="auto"/>
          <w:sz w:val="32"/>
          <w:szCs w:val="32"/>
          <w:highlight w:val="none"/>
          <w:lang w:val="en-US" w:eastAsia="zh-CN"/>
        </w:rPr>
        <w:t>标准化定级工作不得向企业收取任何费用。</w:t>
      </w:r>
    </w:p>
    <w:p>
      <w:pPr>
        <w:pStyle w:val="2"/>
        <w:overflowPunct w:val="0"/>
        <w:spacing w:after="0" w:afterLines="0" w:line="510" w:lineRule="exact"/>
        <w:rPr>
          <w:rFonts w:hint="eastAsia"/>
          <w:highlight w:val="none"/>
          <w:lang w:val="en-US" w:eastAsia="zh-CN"/>
        </w:rPr>
      </w:pPr>
    </w:p>
    <w:p>
      <w:pPr>
        <w:keepNext w:val="0"/>
        <w:keepLines w:val="0"/>
        <w:pageBreakBefore w:val="0"/>
        <w:widowControl w:val="0"/>
        <w:kinsoku/>
        <w:wordWrap/>
        <w:overflowPunct w:val="0"/>
        <w:topLinePunct w:val="0"/>
        <w:autoSpaceDE/>
        <w:autoSpaceDN/>
        <w:bidi w:val="0"/>
        <w:spacing w:after="0" w:afterLines="0" w:line="510" w:lineRule="exact"/>
        <w:ind w:firstLine="0" w:firstLineChars="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第二章 定级组织单位和负责现场评审的单位</w:t>
      </w:r>
    </w:p>
    <w:p>
      <w:pPr>
        <w:keepNext w:val="0"/>
        <w:keepLines w:val="0"/>
        <w:pageBreakBefore w:val="0"/>
        <w:widowControl w:val="0"/>
        <w:kinsoku/>
        <w:wordWrap/>
        <w:overflowPunct w:val="0"/>
        <w:topLinePunct w:val="0"/>
        <w:autoSpaceDE/>
        <w:autoSpaceDN/>
        <w:bidi w:val="0"/>
        <w:spacing w:after="0" w:afterLines="0" w:line="510" w:lineRule="exact"/>
        <w:ind w:firstLine="0" w:firstLineChars="0"/>
        <w:jc w:val="center"/>
        <w:textAlignment w:val="auto"/>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val="0"/>
        <w:topLinePunct w:val="0"/>
        <w:autoSpaceDE/>
        <w:autoSpaceDN/>
        <w:bidi w:val="0"/>
        <w:spacing w:afterLines="0" w:line="51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第六条</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val="0"/>
          <w:bCs w:val="0"/>
          <w:color w:val="auto"/>
          <w:sz w:val="32"/>
          <w:szCs w:val="32"/>
          <w:highlight w:val="none"/>
          <w:lang w:val="en-US" w:eastAsia="zh-CN"/>
        </w:rPr>
        <w:t>各级定级部门可以通过</w:t>
      </w:r>
      <w:r>
        <w:rPr>
          <w:rFonts w:hint="eastAsia" w:ascii="仿宋" w:hAnsi="仿宋" w:eastAsia="仿宋" w:cs="仿宋"/>
          <w:color w:val="auto"/>
          <w:sz w:val="32"/>
          <w:szCs w:val="32"/>
          <w:highlight w:val="none"/>
          <w:lang w:val="en-US" w:eastAsia="zh-CN"/>
        </w:rPr>
        <w:t>政府购买服务方式确定定级组织单位和负责现场评审的单位，并向社会公布名单。二级定级组织单位和负责现场评审的单位由广东省应急管理厅确定，三级定级组织单位和负责现场评审的单位由地级以上市应急管理部门确定。</w:t>
      </w:r>
    </w:p>
    <w:p>
      <w:pPr>
        <w:keepNext w:val="0"/>
        <w:keepLines w:val="0"/>
        <w:pageBreakBefore w:val="0"/>
        <w:widowControl w:val="0"/>
        <w:kinsoku/>
        <w:wordWrap/>
        <w:overflowPunct w:val="0"/>
        <w:topLinePunct w:val="0"/>
        <w:autoSpaceDE/>
        <w:autoSpaceDN/>
        <w:bidi w:val="0"/>
        <w:spacing w:afterLines="0" w:line="510" w:lineRule="exact"/>
        <w:ind w:firstLine="640" w:firstLineChars="200"/>
        <w:jc w:val="both"/>
        <w:textAlignment w:val="auto"/>
        <w:rPr>
          <w:rFonts w:hint="default" w:ascii="仿宋" w:hAnsi="仿宋" w:eastAsia="仿宋" w:cs="仿宋"/>
          <w:color w:val="FF0000"/>
          <w:sz w:val="32"/>
          <w:szCs w:val="32"/>
          <w:highlight w:val="none"/>
          <w:lang w:val="en-US" w:eastAsia="zh-CN"/>
        </w:rPr>
      </w:pPr>
      <w:r>
        <w:rPr>
          <w:rFonts w:hint="eastAsia" w:ascii="仿宋" w:hAnsi="仿宋" w:eastAsia="仿宋" w:cs="仿宋"/>
          <w:color w:val="auto"/>
          <w:sz w:val="32"/>
          <w:szCs w:val="32"/>
          <w:highlight w:val="none"/>
          <w:lang w:val="en-US" w:eastAsia="zh-CN"/>
        </w:rPr>
        <w:t>定级组织单位和负责现场评审的单位不能为同一单位。</w:t>
      </w:r>
    </w:p>
    <w:p>
      <w:pPr>
        <w:keepNext w:val="0"/>
        <w:keepLines w:val="0"/>
        <w:pageBreakBefore w:val="0"/>
        <w:widowControl w:val="0"/>
        <w:kinsoku/>
        <w:wordWrap/>
        <w:overflowPunct w:val="0"/>
        <w:topLinePunct w:val="0"/>
        <w:autoSpaceDE/>
        <w:autoSpaceDN/>
        <w:bidi w:val="0"/>
        <w:spacing w:afterLines="0" w:line="51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第七条</w:t>
      </w:r>
      <w:r>
        <w:rPr>
          <w:rFonts w:hint="eastAsia" w:ascii="仿宋" w:hAnsi="仿宋" w:eastAsia="仿宋" w:cs="仿宋"/>
          <w:color w:val="auto"/>
          <w:sz w:val="32"/>
          <w:szCs w:val="32"/>
          <w:highlight w:val="none"/>
          <w:lang w:val="en-US" w:eastAsia="zh-CN"/>
        </w:rPr>
        <w:t xml:space="preserve"> 定级组织单位负责受理和审核企业自评报告（格式见附件1）、监督现场评审过程和质量、抽样现场复核、开展年度抽查、标准化信息管理系统数据维护、档案管理等具体工作。定级组织单位应当具备下列条件：</w:t>
      </w:r>
    </w:p>
    <w:p>
      <w:pPr>
        <w:keepNext w:val="0"/>
        <w:keepLines w:val="0"/>
        <w:pageBreakBefore w:val="0"/>
        <w:widowControl w:val="0"/>
        <w:kinsoku/>
        <w:wordWrap/>
        <w:overflowPunct w:val="0"/>
        <w:topLinePunct w:val="0"/>
        <w:autoSpaceDE/>
        <w:autoSpaceDN/>
        <w:bidi w:val="0"/>
        <w:spacing w:afterLines="0" w:line="51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（一）应当依法注册登记，具有独立承担民事责任能力的事业单位或者社会组织；</w:t>
      </w:r>
    </w:p>
    <w:p>
      <w:pPr>
        <w:keepNext w:val="0"/>
        <w:keepLines w:val="0"/>
        <w:pageBreakBefore w:val="0"/>
        <w:widowControl w:val="0"/>
        <w:kinsoku/>
        <w:wordWrap/>
        <w:overflowPunct w:val="0"/>
        <w:topLinePunct w:val="0"/>
        <w:autoSpaceDE/>
        <w:autoSpaceDN/>
        <w:bidi w:val="0"/>
        <w:spacing w:afterLines="0" w:line="51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（二）具有健全的法人治理结构，完善的内部管理制度、信息公开制度和民主监督制度；</w:t>
      </w:r>
    </w:p>
    <w:p>
      <w:pPr>
        <w:keepNext w:val="0"/>
        <w:keepLines w:val="0"/>
        <w:pageBreakBefore w:val="0"/>
        <w:widowControl w:val="0"/>
        <w:kinsoku/>
        <w:wordWrap/>
        <w:overflowPunct w:val="0"/>
        <w:topLinePunct w:val="0"/>
        <w:autoSpaceDE/>
        <w:autoSpaceDN/>
        <w:bidi w:val="0"/>
        <w:spacing w:afterLines="0" w:line="510" w:lineRule="exact"/>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（三）具有独立的财务管理、财务核算和资产管理制度，以及依法缴纳税收、社会保险费等良好记录；</w:t>
      </w:r>
    </w:p>
    <w:p>
      <w:pPr>
        <w:keepNext w:val="0"/>
        <w:keepLines w:val="0"/>
        <w:pageBreakBefore w:val="0"/>
        <w:widowControl w:val="0"/>
        <w:kinsoku/>
        <w:wordWrap/>
        <w:overflowPunct w:val="0"/>
        <w:topLinePunct w:val="0"/>
        <w:autoSpaceDE/>
        <w:autoSpaceDN/>
        <w:bidi w:val="0"/>
        <w:spacing w:afterLines="0" w:line="51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（四）具有必需的场所、设备、技术支撑条件和专业技术人员。有3名以上（含3名）相应行业领域的专职专家，专职专家应当具有中级以上职称。应当建设有相应行业领域的安全生产专家队伍；</w:t>
      </w:r>
    </w:p>
    <w:p>
      <w:pPr>
        <w:keepNext w:val="0"/>
        <w:keepLines w:val="0"/>
        <w:pageBreakBefore w:val="0"/>
        <w:widowControl w:val="0"/>
        <w:kinsoku/>
        <w:wordWrap/>
        <w:overflowPunct w:val="0"/>
        <w:topLinePunct w:val="0"/>
        <w:autoSpaceDE/>
        <w:autoSpaceDN/>
        <w:bidi w:val="0"/>
        <w:spacing w:afterLines="0" w:line="51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（五）社会信誉良好，具有较高的社会公信力；</w:t>
      </w:r>
    </w:p>
    <w:p>
      <w:pPr>
        <w:pStyle w:val="2"/>
        <w:keepNext w:val="0"/>
        <w:keepLines w:val="0"/>
        <w:pageBreakBefore w:val="0"/>
        <w:kinsoku/>
        <w:overflowPunct w:val="0"/>
        <w:topLinePunct w:val="0"/>
        <w:autoSpaceDE/>
        <w:autoSpaceDN/>
        <w:bidi w:val="0"/>
        <w:spacing w:after="0" w:afterLines="0" w:line="51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（六）有健全的定级组织程序文件、负责现场评审的单位管理流程、档案管理制度等；设有专职工作人员，并应具备与其承担定级组织工作相适应的能力；</w:t>
      </w:r>
    </w:p>
    <w:p>
      <w:pPr>
        <w:pStyle w:val="2"/>
        <w:keepNext w:val="0"/>
        <w:keepLines w:val="0"/>
        <w:pageBreakBefore w:val="0"/>
        <w:kinsoku/>
        <w:overflowPunct w:val="0"/>
        <w:topLinePunct w:val="0"/>
        <w:autoSpaceDE/>
        <w:autoSpaceDN/>
        <w:bidi w:val="0"/>
        <w:spacing w:after="0" w:afterLines="0" w:line="51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（七）国家和省有关规定的其他条件。</w:t>
      </w:r>
    </w:p>
    <w:p>
      <w:pPr>
        <w:keepNext w:val="0"/>
        <w:keepLines w:val="0"/>
        <w:pageBreakBefore w:val="0"/>
        <w:widowControl w:val="0"/>
        <w:kinsoku/>
        <w:wordWrap/>
        <w:overflowPunct w:val="0"/>
        <w:topLinePunct w:val="0"/>
        <w:autoSpaceDE/>
        <w:autoSpaceDN/>
        <w:bidi w:val="0"/>
        <w:adjustRightInd w:val="0"/>
        <w:snapToGrid w:val="0"/>
        <w:spacing w:afterLines="0" w:line="510" w:lineRule="exact"/>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第八条</w:t>
      </w:r>
      <w:r>
        <w:rPr>
          <w:rFonts w:hint="eastAsia" w:ascii="仿宋" w:hAnsi="仿宋" w:eastAsia="仿宋" w:cs="仿宋"/>
          <w:color w:val="auto"/>
          <w:sz w:val="32"/>
          <w:szCs w:val="32"/>
          <w:highlight w:val="none"/>
          <w:lang w:val="en-US" w:eastAsia="zh-CN"/>
        </w:rPr>
        <w:t xml:space="preserve"> 负责现场评审的单位主要承担申报企业的现场评审工作。负责现场评审的单位应当具备相应的专业能力，基本条件如下：</w:t>
      </w:r>
    </w:p>
    <w:p>
      <w:pPr>
        <w:keepNext w:val="0"/>
        <w:keepLines w:val="0"/>
        <w:pageBreakBefore w:val="0"/>
        <w:widowControl w:val="0"/>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（一）具有独立法人资格，从事安全生产相关工作；</w:t>
      </w:r>
    </w:p>
    <w:p>
      <w:pPr>
        <w:keepNext w:val="0"/>
        <w:keepLines w:val="0"/>
        <w:pageBreakBefore w:val="0"/>
        <w:widowControl w:val="0"/>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有固定工作场所和办公设施</w:t>
      </w:r>
      <w:r>
        <w:rPr>
          <w:rFonts w:hint="eastAsia" w:ascii="仿宋" w:hAnsi="仿宋" w:eastAsia="仿宋" w:cs="仿宋"/>
          <w:color w:val="auto"/>
          <w:sz w:val="32"/>
          <w:szCs w:val="32"/>
          <w:highlight w:val="none"/>
          <w:lang w:eastAsia="zh-CN"/>
        </w:rPr>
        <w:t>，有能够满足开展安全生产标准化现场评审工作的</w:t>
      </w:r>
      <w:r>
        <w:rPr>
          <w:rFonts w:hint="eastAsia" w:ascii="仿宋" w:hAnsi="仿宋" w:eastAsia="仿宋" w:cs="仿宋"/>
          <w:color w:val="auto"/>
          <w:sz w:val="32"/>
          <w:szCs w:val="32"/>
          <w:highlight w:val="none"/>
        </w:rPr>
        <w:t>设施、设备</w:t>
      </w:r>
      <w:r>
        <w:rPr>
          <w:rFonts w:hint="eastAsia" w:ascii="仿宋" w:hAnsi="仿宋" w:eastAsia="仿宋" w:cs="仿宋"/>
          <w:color w:val="auto"/>
          <w:sz w:val="32"/>
          <w:szCs w:val="32"/>
          <w:highlight w:val="none"/>
          <w:lang w:eastAsia="zh-CN"/>
        </w:rPr>
        <w:t>和</w:t>
      </w:r>
      <w:r>
        <w:rPr>
          <w:rFonts w:hint="eastAsia" w:ascii="仿宋" w:hAnsi="仿宋" w:eastAsia="仿宋" w:cs="仿宋"/>
          <w:color w:val="auto"/>
          <w:sz w:val="32"/>
          <w:szCs w:val="32"/>
          <w:highlight w:val="none"/>
        </w:rPr>
        <w:t>技术条件</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lang w:eastAsia="zh-CN"/>
        </w:rPr>
        <w:t>有健全的与</w:t>
      </w:r>
      <w:r>
        <w:rPr>
          <w:rFonts w:hint="eastAsia" w:ascii="仿宋" w:hAnsi="仿宋" w:eastAsia="仿宋" w:cs="仿宋"/>
          <w:color w:val="auto"/>
          <w:sz w:val="32"/>
          <w:szCs w:val="32"/>
          <w:highlight w:val="none"/>
          <w:lang w:val="en-US" w:eastAsia="zh-CN"/>
        </w:rPr>
        <w:t>现场</w:t>
      </w:r>
      <w:r>
        <w:rPr>
          <w:rFonts w:hint="eastAsia" w:ascii="仿宋" w:hAnsi="仿宋" w:eastAsia="仿宋" w:cs="仿宋"/>
          <w:color w:val="auto"/>
          <w:sz w:val="32"/>
          <w:szCs w:val="32"/>
          <w:highlight w:val="none"/>
          <w:lang w:eastAsia="zh-CN"/>
        </w:rPr>
        <w:t>评审工作相关的管理制度、程序文件和质量控制体系等；</w:t>
      </w:r>
    </w:p>
    <w:p>
      <w:pPr>
        <w:keepNext w:val="0"/>
        <w:keepLines w:val="0"/>
        <w:pageBreakBefore w:val="0"/>
        <w:widowControl w:val="0"/>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lang w:eastAsia="zh-CN"/>
        </w:rPr>
        <w:t>配备足够的</w:t>
      </w:r>
      <w:r>
        <w:rPr>
          <w:rFonts w:hint="eastAsia" w:ascii="仿宋" w:hAnsi="仿宋" w:eastAsia="仿宋" w:cs="仿宋"/>
          <w:color w:val="auto"/>
          <w:sz w:val="32"/>
          <w:szCs w:val="32"/>
          <w:highlight w:val="none"/>
          <w:lang w:val="en-US" w:eastAsia="zh-CN"/>
        </w:rPr>
        <w:t>与</w:t>
      </w:r>
      <w:r>
        <w:rPr>
          <w:rFonts w:hint="eastAsia" w:ascii="仿宋" w:hAnsi="仿宋" w:eastAsia="仿宋" w:cs="仿宋"/>
          <w:color w:val="auto"/>
          <w:sz w:val="32"/>
          <w:szCs w:val="32"/>
          <w:highlight w:val="none"/>
          <w:lang w:eastAsia="zh-CN"/>
        </w:rPr>
        <w:t>标准化工作相适应的评审技术人员，相关的评审</w:t>
      </w:r>
      <w:r>
        <w:rPr>
          <w:rFonts w:hint="eastAsia" w:ascii="仿宋" w:hAnsi="仿宋" w:eastAsia="仿宋" w:cs="仿宋"/>
          <w:color w:val="auto"/>
          <w:sz w:val="32"/>
          <w:szCs w:val="32"/>
          <w:highlight w:val="none"/>
          <w:lang w:val="en-US" w:eastAsia="zh-CN"/>
        </w:rPr>
        <w:t>技术</w:t>
      </w:r>
      <w:r>
        <w:rPr>
          <w:rFonts w:hint="eastAsia" w:ascii="仿宋" w:hAnsi="仿宋" w:eastAsia="仿宋" w:cs="仿宋"/>
          <w:color w:val="auto"/>
          <w:sz w:val="32"/>
          <w:szCs w:val="32"/>
          <w:highlight w:val="none"/>
          <w:lang w:eastAsia="zh-CN"/>
        </w:rPr>
        <w:t>人员专业能力要能涵盖评审行业所有专业领域，负责二级标准化现场评审的单位中每个专业领域的评审技术人员不少于</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名，负责三级标准化现场评审的单位中每个专业领域的评审技术人员不少于</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名。每名评审技术人员可跨</w:t>
      </w:r>
      <w:r>
        <w:rPr>
          <w:rFonts w:hint="eastAsia" w:ascii="仿宋" w:hAnsi="仿宋" w:eastAsia="仿宋" w:cs="仿宋"/>
          <w:color w:val="auto"/>
          <w:sz w:val="32"/>
          <w:szCs w:val="32"/>
          <w:highlight w:val="none"/>
          <w:lang w:val="en-US" w:eastAsia="zh-CN"/>
        </w:rPr>
        <w:t>3个专业领域。</w:t>
      </w:r>
    </w:p>
    <w:p>
      <w:pPr>
        <w:keepNext w:val="0"/>
        <w:keepLines w:val="0"/>
        <w:pageBreakBefore w:val="0"/>
        <w:widowControl w:val="0"/>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在确定负责现场评审的单位时，定级部门委托定级组织单位对负责现场评审的单位报送的</w:t>
      </w:r>
      <w:r>
        <w:rPr>
          <w:rFonts w:hint="eastAsia" w:ascii="仿宋" w:hAnsi="仿宋" w:eastAsia="仿宋" w:cs="仿宋"/>
          <w:color w:val="auto"/>
          <w:sz w:val="32"/>
          <w:szCs w:val="32"/>
          <w:highlight w:val="none"/>
          <w:lang w:eastAsia="zh-CN"/>
        </w:rPr>
        <w:t>评审技术人员进行考核。</w:t>
      </w:r>
    </w:p>
    <w:p>
      <w:pPr>
        <w:pStyle w:val="2"/>
        <w:keepNext w:val="0"/>
        <w:keepLines w:val="0"/>
        <w:pageBreakBefore w:val="0"/>
        <w:kinsoku/>
        <w:overflowPunct w:val="0"/>
        <w:topLinePunct w:val="0"/>
        <w:autoSpaceDE/>
        <w:autoSpaceDN/>
        <w:bidi w:val="0"/>
        <w:spacing w:after="0" w:afterLines="0" w:line="510" w:lineRule="exact"/>
        <w:ind w:left="0" w:leftChars="0" w:firstLine="640" w:firstLineChars="200"/>
        <w:textAlignment w:val="auto"/>
        <w:rPr>
          <w:rFonts w:hint="eastAsia" w:ascii="仿宋" w:hAnsi="仿宋" w:eastAsia="仿宋" w:cs="仿宋"/>
          <w:color w:val="FF0000"/>
          <w:sz w:val="32"/>
          <w:szCs w:val="32"/>
          <w:highlight w:val="none"/>
          <w:lang w:eastAsia="zh-CN"/>
        </w:rPr>
      </w:pPr>
      <w:r>
        <w:rPr>
          <w:rFonts w:hint="eastAsia" w:ascii="仿宋" w:hAnsi="仿宋" w:eastAsia="仿宋" w:cs="仿宋"/>
          <w:color w:val="auto"/>
          <w:sz w:val="32"/>
          <w:szCs w:val="32"/>
          <w:highlight w:val="none"/>
          <w:lang w:val="en-US" w:eastAsia="zh-CN"/>
        </w:rPr>
        <w:t>负责现场评审的单位的评审技术人员发生变化时应报定级部门委托的定级组织单位审核备案。</w:t>
      </w:r>
    </w:p>
    <w:p>
      <w:pPr>
        <w:keepNext w:val="0"/>
        <w:keepLines w:val="0"/>
        <w:pageBreakBefore w:val="0"/>
        <w:widowControl w:val="0"/>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第九条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负责现场评审的单位应加强对标准化现场评审工作的日常管理，强化评审质量控制，增强评审</w:t>
      </w:r>
      <w:r>
        <w:rPr>
          <w:rFonts w:hint="eastAsia" w:ascii="仿宋" w:hAnsi="仿宋" w:eastAsia="仿宋" w:cs="仿宋"/>
          <w:color w:val="auto"/>
          <w:sz w:val="32"/>
          <w:szCs w:val="32"/>
          <w:highlight w:val="none"/>
          <w:lang w:val="en-US" w:eastAsia="zh-CN"/>
        </w:rPr>
        <w:t>技术人员</w:t>
      </w:r>
      <w:r>
        <w:rPr>
          <w:rFonts w:hint="eastAsia" w:ascii="仿宋" w:hAnsi="仿宋" w:eastAsia="仿宋" w:cs="仿宋"/>
          <w:color w:val="auto"/>
          <w:sz w:val="32"/>
          <w:szCs w:val="32"/>
          <w:highlight w:val="none"/>
          <w:lang w:eastAsia="zh-CN"/>
        </w:rPr>
        <w:t>责任意识。负责现场评审的单位和评审技术人员对其现场评审结论负责。</w:t>
      </w:r>
    </w:p>
    <w:p>
      <w:pPr>
        <w:keepNext w:val="0"/>
        <w:keepLines w:val="0"/>
        <w:pageBreakBefore w:val="0"/>
        <w:widowControl w:val="0"/>
        <w:kinsoku/>
        <w:wordWrap/>
        <w:overflowPunct w:val="0"/>
        <w:topLinePunct w:val="0"/>
        <w:autoSpaceDE/>
        <w:autoSpaceDN/>
        <w:bidi w:val="0"/>
        <w:spacing w:afterLines="0" w:line="51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第十条</w:t>
      </w:r>
      <w:r>
        <w:rPr>
          <w:rFonts w:hint="eastAsia" w:ascii="仿宋" w:hAnsi="仿宋" w:eastAsia="仿宋" w:cs="仿宋"/>
          <w:color w:val="auto"/>
          <w:sz w:val="32"/>
          <w:szCs w:val="32"/>
          <w:highlight w:val="none"/>
          <w:lang w:val="en-US" w:eastAsia="zh-CN"/>
        </w:rPr>
        <w:t xml:space="preserve"> 定级</w:t>
      </w:r>
      <w:r>
        <w:rPr>
          <w:rFonts w:hint="eastAsia" w:ascii="仿宋" w:hAnsi="仿宋" w:eastAsia="仿宋" w:cs="仿宋"/>
          <w:color w:val="auto"/>
          <w:sz w:val="32"/>
          <w:szCs w:val="32"/>
          <w:highlight w:val="none"/>
          <w:lang w:eastAsia="zh-CN"/>
        </w:rPr>
        <w:t>组织单位</w:t>
      </w:r>
      <w:r>
        <w:rPr>
          <w:rFonts w:hint="eastAsia" w:ascii="仿宋" w:hAnsi="仿宋" w:eastAsia="仿宋" w:cs="仿宋"/>
          <w:color w:val="auto"/>
          <w:sz w:val="32"/>
          <w:szCs w:val="32"/>
          <w:highlight w:val="none"/>
          <w:lang w:val="en-US" w:eastAsia="zh-CN"/>
        </w:rPr>
        <w:t>和负责现场</w:t>
      </w:r>
      <w:r>
        <w:rPr>
          <w:rFonts w:hint="eastAsia" w:ascii="仿宋" w:hAnsi="仿宋" w:eastAsia="仿宋" w:cs="仿宋"/>
          <w:color w:val="auto"/>
          <w:sz w:val="32"/>
          <w:szCs w:val="32"/>
          <w:highlight w:val="none"/>
          <w:lang w:eastAsia="zh-CN"/>
        </w:rPr>
        <w:t>评审</w:t>
      </w:r>
      <w:r>
        <w:rPr>
          <w:rFonts w:hint="eastAsia" w:ascii="仿宋" w:hAnsi="仿宋" w:eastAsia="仿宋" w:cs="仿宋"/>
          <w:color w:val="auto"/>
          <w:sz w:val="32"/>
          <w:szCs w:val="32"/>
          <w:highlight w:val="none"/>
          <w:lang w:val="en-US" w:eastAsia="zh-CN"/>
        </w:rPr>
        <w:t>的</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lang w:val="en-US" w:eastAsia="zh-CN"/>
        </w:rPr>
        <w:t>受定级部门委托开展工作，应</w:t>
      </w:r>
      <w:r>
        <w:rPr>
          <w:rFonts w:hint="eastAsia" w:ascii="仿宋" w:hAnsi="仿宋" w:eastAsia="仿宋" w:cs="仿宋"/>
          <w:color w:val="auto"/>
          <w:sz w:val="32"/>
          <w:szCs w:val="32"/>
          <w:highlight w:val="none"/>
          <w:lang w:eastAsia="zh-CN"/>
        </w:rPr>
        <w:t>自觉接受</w:t>
      </w:r>
      <w:r>
        <w:rPr>
          <w:rFonts w:hint="eastAsia" w:ascii="仿宋" w:hAnsi="仿宋" w:eastAsia="仿宋" w:cs="仿宋"/>
          <w:color w:val="auto"/>
          <w:sz w:val="32"/>
          <w:szCs w:val="32"/>
          <w:highlight w:val="none"/>
          <w:lang w:val="en-US" w:eastAsia="zh-CN"/>
        </w:rPr>
        <w:t>定级</w:t>
      </w:r>
      <w:r>
        <w:rPr>
          <w:rFonts w:hint="eastAsia" w:ascii="仿宋" w:hAnsi="仿宋" w:eastAsia="仿宋" w:cs="仿宋"/>
          <w:color w:val="auto"/>
          <w:sz w:val="32"/>
          <w:szCs w:val="32"/>
          <w:highlight w:val="none"/>
          <w:lang w:eastAsia="zh-CN"/>
        </w:rPr>
        <w:t>部门监督</w:t>
      </w:r>
      <w:r>
        <w:rPr>
          <w:rFonts w:hint="eastAsia" w:ascii="仿宋" w:hAnsi="仿宋" w:eastAsia="仿宋" w:cs="仿宋"/>
          <w:color w:val="auto"/>
          <w:sz w:val="32"/>
          <w:szCs w:val="32"/>
          <w:highlight w:val="none"/>
          <w:lang w:val="en-US" w:eastAsia="zh-CN"/>
        </w:rPr>
        <w:t>和管理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且其单位及其人员不得参与被评审企业的标准化培训、咨询、辅导等相关工作。</w:t>
      </w:r>
    </w:p>
    <w:p>
      <w:pPr>
        <w:pStyle w:val="2"/>
        <w:overflowPunct w:val="0"/>
        <w:spacing w:after="0" w:afterLines="0" w:line="510" w:lineRule="exact"/>
        <w:rPr>
          <w:rFonts w:hint="eastAsia"/>
          <w:highlight w:val="none"/>
          <w:lang w:eastAsia="zh-CN"/>
        </w:rPr>
      </w:pPr>
    </w:p>
    <w:p>
      <w:pPr>
        <w:keepNext w:val="0"/>
        <w:keepLines w:val="0"/>
        <w:pageBreakBefore w:val="0"/>
        <w:widowControl w:val="0"/>
        <w:numPr>
          <w:ilvl w:val="0"/>
          <w:numId w:val="1"/>
        </w:numPr>
        <w:kinsoku/>
        <w:wordWrap/>
        <w:overflowPunct w:val="0"/>
        <w:topLinePunct w:val="0"/>
        <w:autoSpaceDE/>
        <w:autoSpaceDN/>
        <w:bidi w:val="0"/>
        <w:adjustRightInd/>
        <w:snapToGrid/>
        <w:spacing w:after="0" w:afterLines="0" w:line="510" w:lineRule="exact"/>
        <w:ind w:firstLine="0" w:firstLineChars="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建设与申请</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第十一条</w:t>
      </w:r>
      <w:r>
        <w:rPr>
          <w:rFonts w:hint="eastAsia" w:ascii="仿宋" w:hAnsi="仿宋" w:eastAsia="仿宋" w:cs="仿宋"/>
          <w:color w:val="auto"/>
          <w:sz w:val="32"/>
          <w:szCs w:val="32"/>
          <w:highlight w:val="none"/>
          <w:lang w:val="en-US" w:eastAsia="zh-CN"/>
        </w:rPr>
        <w:t xml:space="preserve"> 企业标准化定级按照自评、申请、评审、公示、公告的程序进行。</w:t>
      </w:r>
    </w:p>
    <w:p>
      <w:pPr>
        <w:pStyle w:val="2"/>
        <w:keepNext w:val="0"/>
        <w:keepLines w:val="0"/>
        <w:pageBreakBefore w:val="0"/>
        <w:kinsoku/>
        <w:overflowPunct w:val="0"/>
        <w:topLinePunct w:val="0"/>
        <w:autoSpaceDE/>
        <w:autoSpaceDN/>
        <w:bidi w:val="0"/>
        <w:spacing w:after="0" w:afterLines="0" w:line="510" w:lineRule="exact"/>
        <w:ind w:left="0" w:lef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有意愿建设标准化的企业</w:t>
      </w:r>
      <w:r>
        <w:rPr>
          <w:rFonts w:hint="eastAsia" w:ascii="仿宋" w:hAnsi="仿宋" w:eastAsia="仿宋" w:cs="仿宋"/>
          <w:color w:val="auto"/>
          <w:sz w:val="32"/>
          <w:szCs w:val="32"/>
          <w:highlight w:val="none"/>
          <w:lang w:val="en-US" w:eastAsia="zh-CN"/>
        </w:rPr>
        <w:t>需于</w:t>
      </w:r>
      <w:r>
        <w:rPr>
          <w:rFonts w:hint="eastAsia" w:ascii="仿宋" w:hAnsi="仿宋" w:eastAsia="仿宋" w:cs="仿宋"/>
          <w:color w:val="auto"/>
          <w:sz w:val="32"/>
          <w:szCs w:val="32"/>
          <w:highlight w:val="none"/>
        </w:rPr>
        <w:t>每年</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30</w:t>
      </w:r>
      <w:r>
        <w:rPr>
          <w:rFonts w:hint="eastAsia" w:ascii="仿宋" w:hAnsi="仿宋" w:eastAsia="仿宋" w:cs="仿宋"/>
          <w:color w:val="auto"/>
          <w:sz w:val="32"/>
          <w:szCs w:val="32"/>
          <w:highlight w:val="none"/>
        </w:rPr>
        <w:t>日前向</w:t>
      </w:r>
      <w:r>
        <w:rPr>
          <w:rFonts w:hint="eastAsia" w:ascii="仿宋" w:hAnsi="仿宋" w:eastAsia="仿宋" w:cs="仿宋"/>
          <w:color w:val="auto"/>
          <w:sz w:val="32"/>
          <w:szCs w:val="32"/>
          <w:highlight w:val="none"/>
          <w:lang w:val="en-US" w:eastAsia="zh-CN"/>
        </w:rPr>
        <w:t>定级</w:t>
      </w:r>
      <w:r>
        <w:rPr>
          <w:rFonts w:hint="eastAsia" w:ascii="仿宋" w:hAnsi="仿宋" w:eastAsia="仿宋" w:cs="仿宋"/>
          <w:color w:val="auto"/>
          <w:sz w:val="32"/>
          <w:szCs w:val="32"/>
          <w:highlight w:val="none"/>
        </w:rPr>
        <w:t>组织单位报</w:t>
      </w:r>
      <w:r>
        <w:rPr>
          <w:rFonts w:hint="eastAsia" w:ascii="仿宋" w:hAnsi="仿宋" w:eastAsia="仿宋" w:cs="仿宋"/>
          <w:color w:val="auto"/>
          <w:sz w:val="32"/>
          <w:szCs w:val="32"/>
          <w:highlight w:val="none"/>
          <w:lang w:val="en-US" w:eastAsia="zh-CN"/>
        </w:rPr>
        <w:t>送下一年的</w:t>
      </w:r>
      <w:r>
        <w:rPr>
          <w:rFonts w:hint="eastAsia" w:ascii="仿宋" w:hAnsi="仿宋" w:eastAsia="仿宋" w:cs="仿宋"/>
          <w:color w:val="auto"/>
          <w:sz w:val="32"/>
          <w:szCs w:val="32"/>
          <w:highlight w:val="none"/>
        </w:rPr>
        <w:t>建设计划。</w:t>
      </w:r>
    </w:p>
    <w:p>
      <w:pPr>
        <w:pStyle w:val="2"/>
        <w:keepNext w:val="0"/>
        <w:keepLines w:val="0"/>
        <w:pageBreakBefore w:val="0"/>
        <w:kinsoku/>
        <w:overflowPunct w:val="0"/>
        <w:topLinePunct w:val="0"/>
        <w:autoSpaceDE/>
        <w:autoSpaceDN/>
        <w:bidi w:val="0"/>
        <w:spacing w:after="0" w:afterLines="0" w:line="51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企业标准化建设以自主建设为主，也可聘请从事安全生产相关工作的第三方技术服务单位咨询、辅导建设标准化体系。</w:t>
      </w:r>
    </w:p>
    <w:p>
      <w:pPr>
        <w:pStyle w:val="2"/>
        <w:keepNext w:val="0"/>
        <w:keepLines w:val="0"/>
        <w:pageBreakBefore w:val="0"/>
        <w:kinsoku/>
        <w:overflowPunct w:val="0"/>
        <w:topLinePunct w:val="0"/>
        <w:autoSpaceDE/>
        <w:autoSpaceDN/>
        <w:bidi w:val="0"/>
        <w:spacing w:after="0" w:afterLines="0" w:line="51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第十二条</w:t>
      </w:r>
      <w:r>
        <w:rPr>
          <w:rFonts w:hint="eastAsia" w:ascii="仿宋" w:hAnsi="仿宋" w:eastAsia="仿宋" w:cs="仿宋"/>
          <w:color w:val="auto"/>
          <w:sz w:val="32"/>
          <w:szCs w:val="32"/>
          <w:highlight w:val="none"/>
          <w:lang w:val="en-US" w:eastAsia="zh-CN"/>
        </w:rPr>
        <w:t xml:space="preserve"> 自评。企业应当自主开展标准化建设，成立由其主要负责人任组长、有员工代表参加的工作组，按照生产流程和风险情况，对照所属行业标准化定级标准，将本企业标准和规范融入安全生产管理体系，做到全员参与，实现安全管理系统化、岗位操作行为规范化、设备设施本质安全化、作业环境器具定置化。对照相应评定标准每年至少开展一次自评工作，并形成书面自评报告，在企业内部公示不少于10个工作日，及时整改发现的问题，持续改进安全绩效。</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第十三条</w:t>
      </w:r>
      <w:r>
        <w:rPr>
          <w:rFonts w:hint="eastAsia" w:ascii="仿宋" w:hAnsi="仿宋" w:eastAsia="仿宋" w:cs="仿宋"/>
          <w:color w:val="auto"/>
          <w:sz w:val="32"/>
          <w:szCs w:val="32"/>
          <w:highlight w:val="none"/>
          <w:lang w:val="en-US" w:eastAsia="zh-CN"/>
        </w:rPr>
        <w:t xml:space="preserve"> 申请。申请定级的企业，依拟申请的等级向相应定级组织单位提交自评报告，同时将自评报告上传至</w:t>
      </w:r>
      <w:r>
        <w:rPr>
          <w:rFonts w:hint="eastAsia" w:ascii="仿宋" w:hAnsi="仿宋" w:eastAsia="仿宋" w:cs="仿宋"/>
          <w:color w:val="auto"/>
          <w:kern w:val="2"/>
          <w:sz w:val="32"/>
          <w:szCs w:val="32"/>
          <w:highlight w:val="none"/>
          <w:lang w:val="en-US" w:eastAsia="zh-CN" w:bidi="ar-SA"/>
        </w:rPr>
        <w:t>应急管理部安全生产标准化信息管理系统，</w:t>
      </w:r>
      <w:r>
        <w:rPr>
          <w:rFonts w:hint="eastAsia" w:ascii="仿宋" w:hAnsi="仿宋" w:eastAsia="仿宋" w:cs="仿宋"/>
          <w:color w:val="auto"/>
          <w:sz w:val="32"/>
          <w:szCs w:val="32"/>
          <w:highlight w:val="none"/>
          <w:lang w:val="en-US" w:eastAsia="zh-CN"/>
        </w:rPr>
        <w:t>并对其真实性负责。自评报告中，由其主要负责人承诺符合以下条件：</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（一）依法应当具备的证照齐全有效；</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（二）依法设置安全生产管理机构或者配备安全生产管理人员；</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（三）主要负责人、安全生产管理人员、特种作业人员依法持证上岗；</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（四）申请定级之日前1年内，未发生死亡、总计3人及以上重伤或者直接经济损失总计100万元及以上的生产安全事故；</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（五）未发生造成重大社会不良影响的事件；</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（六）未被列入安全生产失信惩戒名单；</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（七）前次申请定级被告知未通过之日起满1年；</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（八）被撤销标准化等级之日起满1年；</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（九）全面开展隐患排查治理，发现的重大隐患已完成整改。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510" w:lineRule="exact"/>
        <w:ind w:firstLine="640" w:firstLineChars="200"/>
        <w:jc w:val="both"/>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发现企业存在承诺不实的，定级相关工作即行终止，3年内不再受理该企业标准化定级申请，同时，定级部门应将该企业信息抄送至其他定级部门和定级组织单位。</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第十四条</w:t>
      </w:r>
      <w:r>
        <w:rPr>
          <w:rFonts w:hint="eastAsia" w:ascii="黑体" w:hAnsi="黑体" w:eastAsia="黑体" w:cs="黑体"/>
          <w:color w:val="auto"/>
          <w:kern w:val="2"/>
          <w:sz w:val="32"/>
          <w:szCs w:val="32"/>
          <w:highlight w:val="none"/>
          <w:lang w:val="en-US" w:eastAsia="zh-CN" w:bidi="ar-SA"/>
        </w:rPr>
        <w:t xml:space="preserve"> </w:t>
      </w:r>
      <w:r>
        <w:rPr>
          <w:rFonts w:hint="eastAsia" w:ascii="仿宋" w:hAnsi="仿宋" w:eastAsia="仿宋" w:cs="仿宋"/>
          <w:color w:val="auto"/>
          <w:kern w:val="2"/>
          <w:sz w:val="32"/>
          <w:szCs w:val="32"/>
          <w:highlight w:val="none"/>
          <w:lang w:val="en-US" w:eastAsia="zh-CN" w:bidi="ar-SA"/>
        </w:rPr>
        <w:t>定级组织单位收到企业自评报告后，应当根据下列情况分别作出处理：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（一）自评报告内容存在错误、不齐全或者不符合规定形式的，在5个工作日内一次书面告知企业需要补正的全部内容；逾期不告知的，自收到自评报告之日起即为受理；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自评报告内容齐全、符合规定形式，或者企业按照要求补正全部内容后，对自评报告逐项进行审核。对符合申请条件的，将审核意见（格式见附件2）和企业自评报告一并报送定级部门，并书面告知企业；对不符合的，书面告知企业并说明理由。</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审核、报送和告知工作应当在10个工作日内完成。</w:t>
      </w:r>
    </w:p>
    <w:p>
      <w:pPr>
        <w:pStyle w:val="2"/>
        <w:overflowPunct w:val="0"/>
        <w:spacing w:after="0" w:afterLines="0" w:line="510" w:lineRule="exact"/>
        <w:rPr>
          <w:rFonts w:hint="eastAsia"/>
          <w:highlight w:val="none"/>
          <w:lang w:val="en-US" w:eastAsia="zh-CN"/>
        </w:rPr>
      </w:pPr>
    </w:p>
    <w:p>
      <w:pPr>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br w:type="page"/>
      </w:r>
    </w:p>
    <w:p>
      <w:pPr>
        <w:keepNext w:val="0"/>
        <w:keepLines w:val="0"/>
        <w:pageBreakBefore w:val="0"/>
        <w:widowControl w:val="0"/>
        <w:numPr>
          <w:ilvl w:val="-1"/>
          <w:numId w:val="0"/>
        </w:numPr>
        <w:kinsoku/>
        <w:wordWrap/>
        <w:overflowPunct w:val="0"/>
        <w:topLinePunct w:val="0"/>
        <w:autoSpaceDE/>
        <w:autoSpaceDN/>
        <w:bidi w:val="0"/>
        <w:adjustRightInd/>
        <w:snapToGrid/>
        <w:spacing w:after="0" w:afterLines="0" w:line="490" w:lineRule="exact"/>
        <w:ind w:leftChars="0" w:firstLine="0" w:firstLineChars="0"/>
        <w:jc w:val="center"/>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第四章 评审、公示和公告</w:t>
      </w:r>
    </w:p>
    <w:p>
      <w:pPr>
        <w:keepNext w:val="0"/>
        <w:keepLines w:val="0"/>
        <w:pageBreakBefore w:val="0"/>
        <w:widowControl w:val="0"/>
        <w:numPr>
          <w:ilvl w:val="-1"/>
          <w:numId w:val="0"/>
        </w:numPr>
        <w:kinsoku/>
        <w:wordWrap/>
        <w:overflowPunct w:val="0"/>
        <w:topLinePunct w:val="0"/>
        <w:autoSpaceDE/>
        <w:autoSpaceDN/>
        <w:bidi w:val="0"/>
        <w:adjustRightInd/>
        <w:snapToGrid/>
        <w:spacing w:after="0" w:afterLines="0" w:line="490" w:lineRule="exact"/>
        <w:ind w:leftChars="0" w:firstLine="0" w:firstLineChars="0"/>
        <w:jc w:val="center"/>
        <w:textAlignment w:val="auto"/>
        <w:rPr>
          <w:rFonts w:hint="eastAsia" w:ascii="黑体" w:hAnsi="黑体" w:eastAsia="黑体" w:cs="黑体"/>
          <w:i w:val="0"/>
          <w:iCs w:val="0"/>
          <w:caps w:val="0"/>
          <w:color w:val="auto"/>
          <w:spacing w:val="0"/>
          <w:sz w:val="32"/>
          <w:szCs w:val="32"/>
          <w:highlight w:val="none"/>
          <w:lang w:val="en-US"/>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490" w:lineRule="exact"/>
        <w:ind w:firstLine="640" w:firstLineChars="200"/>
        <w:jc w:val="both"/>
        <w:textAlignment w:val="auto"/>
        <w:rPr>
          <w:rFonts w:hint="eastAsia" w:ascii="仿宋" w:hAnsi="仿宋" w:eastAsia="仿宋" w:cs="仿宋"/>
          <w:i w:val="0"/>
          <w:iCs w:val="0"/>
          <w:caps w:val="0"/>
          <w:color w:val="auto"/>
          <w:spacing w:val="0"/>
          <w:sz w:val="32"/>
          <w:szCs w:val="32"/>
          <w:highlight w:val="none"/>
          <w:shd w:val="clear" w:color="auto" w:fill="FFFFFF"/>
        </w:rPr>
      </w:pPr>
      <w:r>
        <w:rPr>
          <w:rFonts w:hint="eastAsia" w:ascii="黑体" w:hAnsi="黑体" w:eastAsia="黑体" w:cs="黑体"/>
          <w:b w:val="0"/>
          <w:bCs w:val="0"/>
          <w:color w:val="auto"/>
          <w:kern w:val="2"/>
          <w:sz w:val="32"/>
          <w:szCs w:val="32"/>
          <w:highlight w:val="none"/>
          <w:lang w:val="en-US" w:eastAsia="zh-CN" w:bidi="ar-SA"/>
        </w:rPr>
        <w:t>第十五条</w:t>
      </w:r>
      <w:r>
        <w:rPr>
          <w:rFonts w:hint="eastAsia" w:ascii="仿宋" w:hAnsi="仿宋" w:eastAsia="仿宋" w:cs="仿宋"/>
          <w:color w:val="auto"/>
          <w:kern w:val="2"/>
          <w:sz w:val="32"/>
          <w:szCs w:val="32"/>
          <w:highlight w:val="none"/>
          <w:lang w:val="en-US" w:eastAsia="zh-CN" w:bidi="ar-SA"/>
        </w:rPr>
        <w:t xml:space="preserve"> 评审。定级部门对定级组织单位报送的审核意见和企业自评报告进行确认后，定级组织单位通知负责现场评审的单位成立现场评审组在20个工作日内完成现场评审。</w:t>
      </w:r>
      <w:r>
        <w:rPr>
          <w:rFonts w:hint="eastAsia" w:ascii="仿宋" w:hAnsi="仿宋" w:eastAsia="仿宋" w:cs="仿宋"/>
          <w:i w:val="0"/>
          <w:iCs w:val="0"/>
          <w:caps w:val="0"/>
          <w:color w:val="auto"/>
          <w:spacing w:val="0"/>
          <w:sz w:val="32"/>
          <w:szCs w:val="32"/>
          <w:highlight w:val="none"/>
          <w:shd w:val="clear" w:color="auto" w:fill="FFFFFF"/>
        </w:rPr>
        <w:t>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49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负责现场评审的单位接受评审任务后，应当根据申请企业所属行业、生产工艺等，成立现场评审组，指定现场评审组组长，现场评审组的人员组成应当满足评审需要的专业能力。负责现场评审的单位确定评审计划后，将评审计划报送至定级组织单位。定级组织单位根据评审工作安排，适时派员监督现场评审工作。完成现场评审后，负责现场评审的单位将现场评审情况及不符合项等形成现场评审报告（格式见附件3），初步确定企业是否达到拟申请的等级，并书面告知企业。</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49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企业收到现场评审报告后，应当在20个工作日内完成不符合项整改工作，并将整改情况报告现场评审组。特殊情况下，经定级组织单位批准，整改期限可以适当延长，但延长的期限最长不超过20个工作日。</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49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现场评审组应当指导企业做好整改工作，并在收到企业整改情况报告后10个工作日内采取书面检查或者现场复核的方式，确认整改是否合格，书面告知企业，并由负责现场评审的单位书面告知定级组织单位。</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49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企业未在规定期限内完成整改的，视为整改不合格。</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afterLines="0" w:line="49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xml:space="preserve">第十六条 </w:t>
      </w:r>
      <w:r>
        <w:rPr>
          <w:rFonts w:hint="eastAsia" w:ascii="仿宋" w:hAnsi="仿宋" w:eastAsia="仿宋" w:cs="仿宋"/>
          <w:color w:val="auto"/>
          <w:kern w:val="2"/>
          <w:sz w:val="32"/>
          <w:szCs w:val="32"/>
          <w:highlight w:val="none"/>
          <w:lang w:val="en-US" w:eastAsia="zh-CN" w:bidi="ar-SA"/>
        </w:rPr>
        <w:t>定级组织单位收到负责现场评审的单位提交的现场评审报告及企业整改情况后，应当在10个工作日内对报告进行审查，</w:t>
      </w:r>
      <w:r>
        <w:rPr>
          <w:rFonts w:hint="eastAsia" w:ascii="仿宋" w:hAnsi="仿宋" w:eastAsia="仿宋" w:cs="仿宋"/>
          <w:color w:val="auto"/>
          <w:sz w:val="32"/>
          <w:szCs w:val="32"/>
          <w:highlight w:val="none"/>
        </w:rPr>
        <w:t>并制作审查意见书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格式见附件4</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kern w:val="2"/>
          <w:sz w:val="32"/>
          <w:szCs w:val="32"/>
          <w:highlight w:val="none"/>
          <w:lang w:val="en-US" w:eastAsia="zh-CN" w:bidi="ar-SA"/>
        </w:rPr>
        <w:t>。经审查现场评审报告内容不齐全或者不符合规定形式的，定级组织单位应当退回负责现场评审的单位并说明理由。负责现场评审的单位应当在15个工作日内修改完善，重新提交。</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afterLines="0" w:line="49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xml:space="preserve">第十七条 </w:t>
      </w:r>
      <w:r>
        <w:rPr>
          <w:rFonts w:hint="eastAsia" w:ascii="仿宋" w:hAnsi="仿宋" w:eastAsia="仿宋" w:cs="仿宋"/>
          <w:color w:val="auto"/>
          <w:kern w:val="2"/>
          <w:sz w:val="32"/>
          <w:szCs w:val="32"/>
          <w:highlight w:val="none"/>
          <w:lang w:val="en-US" w:eastAsia="zh-CN" w:bidi="ar-SA"/>
        </w:rPr>
        <w:t>负责现场评审的单位未在规定期限内修改完善并提交现场评审报告的，则由定级组织单位暂停派发新的现场评审任务。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49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第十八条</w:t>
      </w:r>
      <w:r>
        <w:rPr>
          <w:rFonts w:hint="eastAsia" w:ascii="黑体" w:hAnsi="黑体" w:eastAsia="黑体" w:cs="黑体"/>
          <w:color w:val="auto"/>
          <w:kern w:val="2"/>
          <w:sz w:val="32"/>
          <w:szCs w:val="32"/>
          <w:highlight w:val="none"/>
          <w:lang w:val="en-US" w:eastAsia="zh-CN" w:bidi="ar-SA"/>
        </w:rPr>
        <w:t xml:space="preserve"> </w:t>
      </w:r>
      <w:r>
        <w:rPr>
          <w:rFonts w:hint="eastAsia" w:ascii="仿宋" w:hAnsi="仿宋" w:eastAsia="仿宋" w:cs="仿宋"/>
          <w:color w:val="auto"/>
          <w:kern w:val="2"/>
          <w:sz w:val="32"/>
          <w:szCs w:val="32"/>
          <w:highlight w:val="none"/>
          <w:lang w:val="en-US" w:eastAsia="zh-CN" w:bidi="ar-SA"/>
        </w:rPr>
        <w:t>定级组织单位应当抽取一定数量的申报企业组织现场复核，</w:t>
      </w:r>
      <w:r>
        <w:rPr>
          <w:rFonts w:hint="eastAsia" w:ascii="仿宋" w:hAnsi="仿宋" w:eastAsia="仿宋" w:cs="仿宋"/>
          <w:color w:val="auto"/>
          <w:sz w:val="32"/>
          <w:szCs w:val="32"/>
          <w:highlight w:val="none"/>
        </w:rPr>
        <w:t>按高危行业不少于</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0%、其它行业不少于</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0%的比例进行</w:t>
      </w:r>
      <w:r>
        <w:rPr>
          <w:rFonts w:hint="eastAsia" w:ascii="仿宋" w:hAnsi="仿宋" w:eastAsia="仿宋" w:cs="仿宋"/>
          <w:color w:val="auto"/>
          <w:sz w:val="32"/>
          <w:szCs w:val="32"/>
          <w:highlight w:val="none"/>
          <w:lang w:val="en-US" w:eastAsia="zh-CN"/>
        </w:rPr>
        <w:t>现场复核</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对</w:t>
      </w:r>
      <w:r>
        <w:rPr>
          <w:rFonts w:hint="eastAsia" w:ascii="仿宋" w:hAnsi="仿宋" w:eastAsia="仿宋" w:cs="仿宋"/>
          <w:color w:val="auto"/>
          <w:kern w:val="2"/>
          <w:sz w:val="32"/>
          <w:szCs w:val="32"/>
          <w:highlight w:val="none"/>
          <w:lang w:val="en-US" w:eastAsia="zh-CN" w:bidi="ar-SA"/>
        </w:rPr>
        <w:t>在其他检查中出现问题较多或</w:t>
      </w:r>
      <w:r>
        <w:rPr>
          <w:rFonts w:hint="eastAsia" w:ascii="仿宋" w:hAnsi="仿宋" w:eastAsia="仿宋" w:cs="仿宋"/>
          <w:b w:val="0"/>
          <w:bCs w:val="0"/>
          <w:color w:val="auto"/>
          <w:sz w:val="32"/>
          <w:szCs w:val="32"/>
          <w:highlight w:val="none"/>
          <w:lang w:val="en-US" w:eastAsia="zh-CN"/>
        </w:rPr>
        <w:t>存在重大生产安全事故隐患</w:t>
      </w:r>
      <w:r>
        <w:rPr>
          <w:rFonts w:hint="eastAsia" w:ascii="仿宋" w:hAnsi="仿宋" w:eastAsia="仿宋" w:cs="仿宋"/>
          <w:color w:val="auto"/>
          <w:kern w:val="2"/>
          <w:sz w:val="32"/>
          <w:szCs w:val="32"/>
          <w:highlight w:val="none"/>
          <w:lang w:val="en-US" w:eastAsia="zh-CN" w:bidi="ar-SA"/>
        </w:rPr>
        <w:t>的企业必须纳入现场复核范围。现场复核的重点包括负责现场评审的单位的评审程序、现场评审报告与现场情况的一致性、有无重大事故隐患和违法行为等。</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49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现场复核发现负责现场评审的单位未严格履行评审程序、现场评审报告未如实反映企业真实情况、评审技术人员专业能力不能满足评审要求等情形的，定级组织单位重新确定评审是否通过，并应当向定级部门报告。</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49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第十九条</w:t>
      </w:r>
      <w:r>
        <w:rPr>
          <w:rFonts w:hint="eastAsia" w:ascii="仿宋" w:hAnsi="仿宋" w:eastAsia="仿宋" w:cs="仿宋"/>
          <w:color w:val="auto"/>
          <w:kern w:val="2"/>
          <w:sz w:val="32"/>
          <w:szCs w:val="32"/>
          <w:highlight w:val="none"/>
          <w:lang w:val="en-US" w:eastAsia="zh-CN" w:bidi="ar-SA"/>
        </w:rPr>
        <w:t xml:space="preserve"> 公示。定级组织单位将确认整改合格、符合相应定级标准的企业名单及审查意见书定期报送相应定级部门；定级部门确认后，应当在本级政府或者本部门网站向社会公示，接受社会监督，公示时间不少于7个工作日。</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49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公示期间，收到企业存在不符合定级标准以及其他相关要求问题反映的，定级部门应当组织核实。</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49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第二十条</w:t>
      </w:r>
      <w:r>
        <w:rPr>
          <w:rFonts w:hint="eastAsia" w:ascii="仿宋" w:hAnsi="仿宋" w:eastAsia="仿宋" w:cs="仿宋"/>
          <w:color w:val="auto"/>
          <w:kern w:val="2"/>
          <w:sz w:val="32"/>
          <w:szCs w:val="32"/>
          <w:highlight w:val="none"/>
          <w:lang w:val="en-US" w:eastAsia="zh-CN" w:bidi="ar-SA"/>
        </w:rPr>
        <w:t xml:space="preserve"> 公告。对公示无异议或者经核实不存在所反映问题的企业，定级部门应当确认其等级，予以公告，并抄送同级工业和信息化、人力资源社会保障、国有资产监督管理、市场监督管理等部门和工会组织，以及相应银行保险和证券监督管理机构。</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49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对未予公告的企业，由定级部门书面告知其未通过定级，并说明理由。</w:t>
      </w:r>
    </w:p>
    <w:p>
      <w:pPr>
        <w:keepNext w:val="0"/>
        <w:keepLines w:val="0"/>
        <w:pageBreakBefore w:val="0"/>
        <w:widowControl w:val="0"/>
        <w:kinsoku/>
        <w:wordWrap/>
        <w:overflowPunct w:val="0"/>
        <w:topLinePunct w:val="0"/>
        <w:autoSpaceDE/>
        <w:autoSpaceDN/>
        <w:bidi w:val="0"/>
        <w:adjustRightInd w:val="0"/>
        <w:snapToGrid w:val="0"/>
        <w:spacing w:afterLines="0" w:line="49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第二十一条</w:t>
      </w:r>
      <w:r>
        <w:rPr>
          <w:rFonts w:hint="eastAsia" w:ascii="仿宋" w:hAnsi="仿宋" w:eastAsia="仿宋" w:cs="仿宋"/>
          <w:color w:val="auto"/>
          <w:kern w:val="2"/>
          <w:sz w:val="32"/>
          <w:szCs w:val="32"/>
          <w:highlight w:val="none"/>
          <w:lang w:val="en-US" w:eastAsia="zh-CN" w:bidi="ar-SA"/>
        </w:rPr>
        <w:t xml:space="preserve"> 企业标准化等级有效期为3年。在定级有效期内，企业应当每年进行1次自评，</w:t>
      </w:r>
      <w:r>
        <w:rPr>
          <w:rFonts w:hint="eastAsia" w:ascii="仿宋" w:hAnsi="仿宋" w:eastAsia="仿宋" w:cs="仿宋"/>
          <w:color w:val="auto"/>
          <w:sz w:val="32"/>
          <w:szCs w:val="32"/>
          <w:highlight w:val="none"/>
          <w:lang w:eastAsia="zh-CN"/>
        </w:rPr>
        <w:t>如评审标准已经更新，应当按照新标准进行自评，</w:t>
      </w:r>
      <w:r>
        <w:rPr>
          <w:rFonts w:hint="eastAsia" w:ascii="仿宋" w:hAnsi="仿宋" w:eastAsia="仿宋" w:cs="仿宋"/>
          <w:color w:val="auto"/>
          <w:kern w:val="2"/>
          <w:sz w:val="32"/>
          <w:szCs w:val="32"/>
          <w:highlight w:val="none"/>
          <w:lang w:val="en-US" w:eastAsia="zh-CN" w:bidi="ar-SA"/>
        </w:rPr>
        <w:t>形成自评报告，在企业内部进行公示，并提交至应急管理部的安全生产标准化信息管理系统。</w:t>
      </w:r>
    </w:p>
    <w:p>
      <w:pPr>
        <w:keepNext w:val="0"/>
        <w:keepLines w:val="0"/>
        <w:pageBreakBefore w:val="0"/>
        <w:widowControl w:val="0"/>
        <w:kinsoku/>
        <w:wordWrap/>
        <w:overflowPunct w:val="0"/>
        <w:topLinePunct w:val="0"/>
        <w:autoSpaceDE/>
        <w:autoSpaceDN/>
        <w:bidi w:val="0"/>
        <w:adjustRightInd w:val="0"/>
        <w:snapToGrid w:val="0"/>
        <w:spacing w:afterLines="0" w:line="49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kern w:val="2"/>
          <w:sz w:val="32"/>
          <w:szCs w:val="32"/>
          <w:highlight w:val="none"/>
          <w:lang w:val="en-US" w:eastAsia="zh-CN" w:bidi="ar-SA"/>
        </w:rPr>
        <w:t>已取得标准化等级的企业，可以</w:t>
      </w:r>
      <w:r>
        <w:rPr>
          <w:rFonts w:hint="eastAsia" w:ascii="仿宋" w:hAnsi="仿宋" w:eastAsia="仿宋" w:cs="仿宋"/>
          <w:color w:val="auto"/>
          <w:sz w:val="32"/>
          <w:szCs w:val="32"/>
          <w:highlight w:val="none"/>
        </w:rPr>
        <w:t>在有效期满前3个月</w:t>
      </w:r>
      <w:r>
        <w:rPr>
          <w:rFonts w:hint="eastAsia" w:ascii="仿宋" w:hAnsi="仿宋" w:eastAsia="仿宋" w:cs="仿宋"/>
          <w:color w:val="auto"/>
          <w:sz w:val="32"/>
          <w:szCs w:val="32"/>
          <w:highlight w:val="none"/>
          <w:lang w:eastAsia="zh-CN"/>
        </w:rPr>
        <w:t>再次按照本办法规定的程序申请定级。</w:t>
      </w:r>
    </w:p>
    <w:p>
      <w:pPr>
        <w:keepNext w:val="0"/>
        <w:keepLines w:val="0"/>
        <w:pageBreakBefore w:val="0"/>
        <w:widowControl w:val="0"/>
        <w:kinsoku/>
        <w:wordWrap/>
        <w:overflowPunct w:val="0"/>
        <w:topLinePunct w:val="0"/>
        <w:autoSpaceDE/>
        <w:autoSpaceDN/>
        <w:bidi w:val="0"/>
        <w:adjustRightInd w:val="0"/>
        <w:snapToGrid w:val="0"/>
        <w:spacing w:afterLines="0" w:line="49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第二十二条</w:t>
      </w:r>
      <w:r>
        <w:rPr>
          <w:rFonts w:hint="eastAsia" w:ascii="黑体" w:hAnsi="黑体" w:eastAsia="黑体" w:cs="黑体"/>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对再次申请原等级的企业，在标准化等级有效期内符合以下条件的，报送申请材料至定级组织单位，经定级部门组织定级组织单位现场复核确认后，直接予以公示和公告：</w:t>
      </w:r>
    </w:p>
    <w:p>
      <w:pPr>
        <w:keepNext w:val="0"/>
        <w:keepLines w:val="0"/>
        <w:pageBreakBefore w:val="0"/>
        <w:widowControl w:val="0"/>
        <w:kinsoku/>
        <w:wordWrap/>
        <w:overflowPunct w:val="0"/>
        <w:topLinePunct w:val="0"/>
        <w:autoSpaceDE/>
        <w:autoSpaceDN/>
        <w:bidi w:val="0"/>
        <w:adjustRightInd w:val="0"/>
        <w:snapToGrid w:val="0"/>
        <w:spacing w:afterLines="0" w:line="49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（一）未发生生产安全死亡事故；</w:t>
      </w:r>
    </w:p>
    <w:p>
      <w:pPr>
        <w:keepNext w:val="0"/>
        <w:keepLines w:val="0"/>
        <w:pageBreakBefore w:val="0"/>
        <w:widowControl w:val="0"/>
        <w:kinsoku/>
        <w:wordWrap/>
        <w:overflowPunct w:val="0"/>
        <w:topLinePunct w:val="0"/>
        <w:autoSpaceDE/>
        <w:autoSpaceDN/>
        <w:bidi w:val="0"/>
        <w:adjustRightInd w:val="0"/>
        <w:snapToGrid w:val="0"/>
        <w:spacing w:afterLines="0" w:line="49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（二）二级、三级企业未发生总计重伤5人及以上或者直接经济损失总计500万元及以上的生产安全事故；</w:t>
      </w:r>
    </w:p>
    <w:p>
      <w:pPr>
        <w:keepNext w:val="0"/>
        <w:keepLines w:val="0"/>
        <w:pageBreakBefore w:val="0"/>
        <w:widowControl w:val="0"/>
        <w:kinsoku/>
        <w:wordWrap/>
        <w:overflowPunct w:val="0"/>
        <w:topLinePunct w:val="0"/>
        <w:autoSpaceDE/>
        <w:autoSpaceDN/>
        <w:bidi w:val="0"/>
        <w:adjustRightInd w:val="0"/>
        <w:snapToGrid w:val="0"/>
        <w:spacing w:afterLines="0" w:line="49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（三）未发生造成重大社会不良影响的事件；</w:t>
      </w:r>
    </w:p>
    <w:p>
      <w:pPr>
        <w:keepNext w:val="0"/>
        <w:keepLines w:val="0"/>
        <w:pageBreakBefore w:val="0"/>
        <w:widowControl w:val="0"/>
        <w:kinsoku/>
        <w:wordWrap/>
        <w:overflowPunct w:val="0"/>
        <w:topLinePunct w:val="0"/>
        <w:autoSpaceDE/>
        <w:autoSpaceDN/>
        <w:bidi w:val="0"/>
        <w:adjustRightInd w:val="0"/>
        <w:snapToGrid w:val="0"/>
        <w:spacing w:afterLines="0" w:line="49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（四）有关法律、法规、规章、标准及所属行业定级相关标准未作重大修订；</w:t>
      </w:r>
    </w:p>
    <w:p>
      <w:pPr>
        <w:keepNext w:val="0"/>
        <w:keepLines w:val="0"/>
        <w:pageBreakBefore w:val="0"/>
        <w:widowControl w:val="0"/>
        <w:kinsoku/>
        <w:wordWrap/>
        <w:overflowPunct w:val="0"/>
        <w:topLinePunct w:val="0"/>
        <w:autoSpaceDE/>
        <w:autoSpaceDN/>
        <w:bidi w:val="0"/>
        <w:adjustRightInd w:val="0"/>
        <w:snapToGrid w:val="0"/>
        <w:spacing w:afterLines="0" w:line="49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（五）生产工艺、设备、产品、原辅材料等无重大变化，无新建、改建、扩建工程项目；</w:t>
      </w:r>
    </w:p>
    <w:p>
      <w:pPr>
        <w:keepNext w:val="0"/>
        <w:keepLines w:val="0"/>
        <w:pageBreakBefore w:val="0"/>
        <w:widowControl w:val="0"/>
        <w:kinsoku/>
        <w:wordWrap/>
        <w:overflowPunct w:val="0"/>
        <w:topLinePunct w:val="0"/>
        <w:autoSpaceDE/>
        <w:autoSpaceDN/>
        <w:bidi w:val="0"/>
        <w:adjustRightInd w:val="0"/>
        <w:snapToGrid w:val="0"/>
        <w:spacing w:afterLines="0" w:line="49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（六）按照规定开展自评并提交自评报告。</w:t>
      </w:r>
    </w:p>
    <w:p>
      <w:pPr>
        <w:keepNext w:val="0"/>
        <w:keepLines w:val="0"/>
        <w:pageBreakBefore w:val="0"/>
        <w:widowControl w:val="0"/>
        <w:kinsoku/>
        <w:wordWrap/>
        <w:overflowPunct w:val="0"/>
        <w:topLinePunct w:val="0"/>
        <w:autoSpaceDE/>
        <w:autoSpaceDN/>
        <w:bidi w:val="0"/>
        <w:adjustRightInd w:val="0"/>
        <w:snapToGrid w:val="0"/>
        <w:spacing w:afterLines="0" w:line="490" w:lineRule="exact"/>
        <w:ind w:firstLine="640" w:firstLineChars="200"/>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after="0" w:afterLines="0" w:line="490" w:lineRule="exact"/>
        <w:ind w:firstLine="0" w:firstLineChars="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第五章 监督管理</w:t>
      </w:r>
    </w:p>
    <w:p>
      <w:pPr>
        <w:keepNext w:val="0"/>
        <w:keepLines w:val="0"/>
        <w:pageBreakBefore w:val="0"/>
        <w:widowControl w:val="0"/>
        <w:kinsoku/>
        <w:wordWrap/>
        <w:overflowPunct w:val="0"/>
        <w:topLinePunct w:val="0"/>
        <w:autoSpaceDE/>
        <w:autoSpaceDN/>
        <w:bidi w:val="0"/>
        <w:adjustRightInd/>
        <w:snapToGrid/>
        <w:spacing w:after="0" w:afterLines="0" w:line="490" w:lineRule="exact"/>
        <w:ind w:firstLine="0" w:firstLineChars="0"/>
        <w:jc w:val="center"/>
        <w:textAlignment w:val="auto"/>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val="0"/>
        <w:snapToGrid w:val="0"/>
        <w:spacing w:afterLines="0" w:line="49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第二十三条</w:t>
      </w:r>
      <w:r>
        <w:rPr>
          <w:rFonts w:hint="eastAsia" w:ascii="仿宋" w:hAnsi="仿宋" w:eastAsia="仿宋" w:cs="仿宋"/>
          <w:color w:val="auto"/>
          <w:sz w:val="32"/>
          <w:szCs w:val="32"/>
          <w:highlight w:val="none"/>
          <w:lang w:val="en-US" w:eastAsia="zh-CN"/>
        </w:rPr>
        <w:t xml:space="preserve"> 标准化等级企业应当保持其安全生产标准化管理体系持续、有效运行，不断提高安全生产水平。</w:t>
      </w:r>
    </w:p>
    <w:p>
      <w:pPr>
        <w:keepNext w:val="0"/>
        <w:keepLines w:val="0"/>
        <w:pageBreakBefore w:val="0"/>
        <w:widowControl w:val="0"/>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第二十四条</w:t>
      </w:r>
      <w:r>
        <w:rPr>
          <w:rFonts w:hint="eastAsia" w:ascii="仿宋" w:hAnsi="仿宋" w:eastAsia="仿宋" w:cs="仿宋"/>
          <w:color w:val="auto"/>
          <w:sz w:val="32"/>
          <w:szCs w:val="32"/>
          <w:highlight w:val="none"/>
          <w:lang w:val="en-US" w:eastAsia="zh-CN"/>
        </w:rPr>
        <w:t xml:space="preserve"> 各级应急管理部门在日常监管执法工作中，发现企业存在以下情形之一的，应当立即告知并由原定级部门撤销其等级。原定级部门应当予以公告并同时抄送同级工业和信息化、人力资源社会保障、国有资产监督管理、市场监督管理等部门和工会组织，以及相应银行保险和证券监督管理机构。</w:t>
      </w:r>
    </w:p>
    <w:p>
      <w:pPr>
        <w:keepNext w:val="0"/>
        <w:keepLines w:val="0"/>
        <w:pageBreakBefore w:val="0"/>
        <w:widowControl w:val="0"/>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（一）发生生产安全死亡事故的；</w:t>
      </w:r>
    </w:p>
    <w:p>
      <w:pPr>
        <w:keepNext w:val="0"/>
        <w:keepLines w:val="0"/>
        <w:pageBreakBefore w:val="0"/>
        <w:widowControl w:val="0"/>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（二）连续12个月内发生总计重伤3人及以上或者直接经济损失总计100万元及以上的生产安全事故的；</w:t>
      </w:r>
    </w:p>
    <w:p>
      <w:pPr>
        <w:keepNext w:val="0"/>
        <w:keepLines w:val="0"/>
        <w:pageBreakBefore w:val="0"/>
        <w:widowControl w:val="0"/>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（三）发生造成重大社会不良影响事件的；</w:t>
      </w:r>
    </w:p>
    <w:p>
      <w:pPr>
        <w:keepNext w:val="0"/>
        <w:keepLines w:val="0"/>
        <w:pageBreakBefore w:val="0"/>
        <w:widowControl w:val="0"/>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（四）瞒报、谎报、迟报、漏报生产安全事故的；</w:t>
      </w:r>
    </w:p>
    <w:p>
      <w:pPr>
        <w:keepNext w:val="0"/>
        <w:keepLines w:val="0"/>
        <w:pageBreakBefore w:val="0"/>
        <w:widowControl w:val="0"/>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（五）被列入安全生产失信惩戒名单的；</w:t>
      </w:r>
    </w:p>
    <w:p>
      <w:pPr>
        <w:keepNext w:val="0"/>
        <w:keepLines w:val="0"/>
        <w:pageBreakBefore w:val="0"/>
        <w:widowControl w:val="0"/>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（六）提供虚假材料，或者以其他不正当手段取得标准化等级的；</w:t>
      </w:r>
    </w:p>
    <w:p>
      <w:pPr>
        <w:keepNext w:val="0"/>
        <w:keepLines w:val="0"/>
        <w:pageBreakBefore w:val="0"/>
        <w:widowControl w:val="0"/>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（七）行政许可证照注销、吊销、撤销的，或者不再从事相关行业生产经营活动的；</w:t>
      </w:r>
    </w:p>
    <w:p>
      <w:pPr>
        <w:keepNext w:val="0"/>
        <w:keepLines w:val="0"/>
        <w:pageBreakBefore w:val="0"/>
        <w:widowControl w:val="0"/>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（八）存在重大生产安全事故隐患,未在规定期限内完成整改的；</w:t>
      </w:r>
    </w:p>
    <w:p>
      <w:pPr>
        <w:keepNext w:val="0"/>
        <w:keepLines w:val="0"/>
        <w:pageBreakBefore w:val="0"/>
        <w:widowControl w:val="0"/>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（九）未按照标准化管理体系持续、有效运行，情节严重的。</w:t>
      </w:r>
    </w:p>
    <w:p>
      <w:pPr>
        <w:keepNext w:val="0"/>
        <w:keepLines w:val="0"/>
        <w:pageBreakBefore w:val="0"/>
        <w:widowControl w:val="0"/>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被撤销标准化等级的企业，由定级部门进行公告。自撤销之日起满1年后，方可依据有关规定重新提出申请。</w:t>
      </w:r>
    </w:p>
    <w:p>
      <w:pPr>
        <w:keepNext w:val="0"/>
        <w:keepLines w:val="0"/>
        <w:pageBreakBefore w:val="0"/>
        <w:widowControl w:val="0"/>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黑体" w:hAnsi="黑体" w:eastAsia="黑体" w:cs="黑体"/>
          <w:b w:val="0"/>
          <w:bCs w:val="0"/>
          <w:i w:val="0"/>
          <w:iCs w:val="0"/>
          <w:color w:val="auto"/>
          <w:sz w:val="32"/>
          <w:szCs w:val="32"/>
          <w:highlight w:val="none"/>
          <w:lang w:val="en-US" w:eastAsia="zh-CN"/>
        </w:rPr>
        <w:t>第二十五条</w:t>
      </w:r>
      <w:r>
        <w:rPr>
          <w:rFonts w:hint="eastAsia" w:ascii="黑体" w:hAnsi="黑体" w:eastAsia="黑体" w:cs="黑体"/>
          <w:i w:val="0"/>
          <w:iCs w:val="0"/>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各级应急管理部门应当协调有关部门采取有效激励措施，支持和鼓励企业开展标准化建设。</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将企业标准化建设情况作为分类分级监管的重要依据，对不同等级的企业实施差异化监管。对一级和二级企业，以执法抽查为主，减少执法检查频次；</w:t>
      </w:r>
    </w:p>
    <w:p>
      <w:pPr>
        <w:keepNext w:val="0"/>
        <w:keepLines w:val="0"/>
        <w:pageBreakBefore w:val="0"/>
        <w:widowControl w:val="0"/>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（二）因安全生产政策性原因对相关企业实施区域限产、停产措施的，原则上一级企业不纳入范围；</w:t>
      </w:r>
    </w:p>
    <w:p>
      <w:pPr>
        <w:keepNext w:val="0"/>
        <w:keepLines w:val="0"/>
        <w:pageBreakBefore w:val="0"/>
        <w:widowControl w:val="0"/>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（三）停产后依法需要复产验收时，原则上优先对一级和二级企业进行复产验收；</w:t>
      </w:r>
    </w:p>
    <w:p>
      <w:pPr>
        <w:keepNext w:val="0"/>
        <w:keepLines w:val="0"/>
        <w:pageBreakBefore w:val="0"/>
        <w:widowControl w:val="0"/>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（四）标准化等级企业符合工伤保险费率下浮条件的，按规定下浮其工伤保险费率；</w:t>
      </w:r>
    </w:p>
    <w:p>
      <w:pPr>
        <w:keepNext w:val="0"/>
        <w:keepLines w:val="0"/>
        <w:pageBreakBefore w:val="0"/>
        <w:widowControl w:val="0"/>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（五）标准化等级企业的安全生产责任保险按有关政策规定给予支持；</w:t>
      </w:r>
    </w:p>
    <w:p>
      <w:pPr>
        <w:keepNext w:val="0"/>
        <w:keepLines w:val="0"/>
        <w:pageBreakBefore w:val="0"/>
        <w:widowControl w:val="0"/>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（六）将企业标准化等级作为信贷信用等级评定的重要依据之一。支持鼓励金融信贷机构向符合条件的标准化等级企业优先提供信贷服务；</w:t>
      </w:r>
    </w:p>
    <w:p>
      <w:pPr>
        <w:keepNext w:val="0"/>
        <w:keepLines w:val="0"/>
        <w:pageBreakBefore w:val="0"/>
        <w:widowControl w:val="0"/>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（七）标准化等级企业申报国家和地方质量奖励、优秀品牌等资格和荣誉的，予以优先支持或者推荐；</w:t>
      </w:r>
    </w:p>
    <w:p>
      <w:pPr>
        <w:keepNext w:val="0"/>
        <w:keepLines w:val="0"/>
        <w:pageBreakBefore w:val="0"/>
        <w:widowControl w:val="0"/>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（八）对符合评选推荐条件的标准化等级企业，优先推荐其参加所属地区、行业及领域的先进单位（集体）、安全文化示范企业等评选。</w:t>
      </w:r>
    </w:p>
    <w:p>
      <w:pPr>
        <w:keepNext w:val="0"/>
        <w:keepLines w:val="0"/>
        <w:pageBreakBefore w:val="0"/>
        <w:widowControl w:val="0"/>
        <w:kinsoku/>
        <w:wordWrap/>
        <w:overflowPunct w:val="0"/>
        <w:topLinePunct w:val="0"/>
        <w:autoSpaceDE/>
        <w:autoSpaceDN/>
        <w:bidi w:val="0"/>
        <w:adjustRightInd w:val="0"/>
        <w:snapToGrid w:val="0"/>
        <w:spacing w:afterLines="0" w:line="510" w:lineRule="exact"/>
        <w:ind w:firstLine="640" w:firstLineChars="200"/>
        <w:jc w:val="both"/>
        <w:textAlignment w:val="auto"/>
        <w:outlineLvl w:val="9"/>
        <w:rPr>
          <w:rFonts w:hint="eastAsia" w:ascii="仿宋" w:hAnsi="仿宋" w:eastAsia="仿宋" w:cs="仿宋"/>
          <w:color w:val="auto"/>
          <w:sz w:val="32"/>
          <w:szCs w:val="32"/>
          <w:highlight w:val="none"/>
          <w:vertAlign w:val="baseline"/>
        </w:rPr>
      </w:pPr>
      <w:r>
        <w:rPr>
          <w:rFonts w:hint="eastAsia" w:ascii="黑体" w:hAnsi="黑体" w:eastAsia="黑体" w:cs="黑体"/>
          <w:b w:val="0"/>
          <w:bCs w:val="0"/>
          <w:color w:val="auto"/>
          <w:sz w:val="32"/>
          <w:szCs w:val="32"/>
          <w:highlight w:val="none"/>
          <w:lang w:val="en-US" w:eastAsia="zh-CN"/>
        </w:rPr>
        <w:t>第二十六条</w:t>
      </w:r>
      <w:r>
        <w:rPr>
          <w:rFonts w:hint="eastAsia" w:ascii="仿宋" w:hAnsi="仿宋" w:eastAsia="仿宋" w:cs="仿宋"/>
          <w:color w:val="auto"/>
          <w:sz w:val="32"/>
          <w:szCs w:val="32"/>
          <w:highlight w:val="none"/>
          <w:lang w:val="en-US" w:eastAsia="zh-CN"/>
        </w:rPr>
        <w:t xml:space="preserve"> 各级定级部门应当加强对定级组织单位和负责现场评审的单位及其人员的监督管理，对标准化相关材料进行抽查，发现存在审核把关不严、有明显错误，但尚未造成重大损失的，约谈有关单位主要负责人。</w:t>
      </w:r>
      <w:r>
        <w:rPr>
          <w:rFonts w:hint="eastAsia" w:ascii="仿宋" w:hAnsi="仿宋" w:eastAsia="仿宋" w:cs="仿宋"/>
          <w:color w:val="auto"/>
          <w:sz w:val="32"/>
          <w:szCs w:val="32"/>
          <w:highlight w:val="none"/>
          <w:vertAlign w:val="baseline"/>
        </w:rPr>
        <w:t>有下列情形的，取消</w:t>
      </w:r>
      <w:r>
        <w:rPr>
          <w:rFonts w:hint="eastAsia" w:ascii="仿宋" w:hAnsi="仿宋" w:eastAsia="仿宋" w:cs="仿宋"/>
          <w:color w:val="auto"/>
          <w:sz w:val="32"/>
          <w:szCs w:val="32"/>
          <w:highlight w:val="none"/>
          <w:vertAlign w:val="baseline"/>
          <w:lang w:val="en-US" w:eastAsia="zh-CN"/>
        </w:rPr>
        <w:t>定级</w:t>
      </w:r>
      <w:r>
        <w:rPr>
          <w:rFonts w:hint="eastAsia" w:ascii="仿宋" w:hAnsi="仿宋" w:eastAsia="仿宋" w:cs="仿宋"/>
          <w:color w:val="auto"/>
          <w:sz w:val="32"/>
          <w:szCs w:val="32"/>
          <w:highlight w:val="none"/>
          <w:vertAlign w:val="baseline"/>
        </w:rPr>
        <w:t>组织单位和负责现场评审的单位及其人员有关资格：</w:t>
      </w:r>
    </w:p>
    <w:p>
      <w:pPr>
        <w:keepNext w:val="0"/>
        <w:keepLines w:val="0"/>
        <w:pageBreakBefore w:val="0"/>
        <w:widowControl w:val="0"/>
        <w:kinsoku/>
        <w:wordWrap/>
        <w:overflowPunct w:val="0"/>
        <w:topLinePunct w:val="0"/>
        <w:autoSpaceDE/>
        <w:autoSpaceDN/>
        <w:bidi w:val="0"/>
        <w:adjustRightInd w:val="0"/>
        <w:snapToGrid w:val="0"/>
        <w:spacing w:afterLines="0" w:line="510" w:lineRule="exact"/>
        <w:ind w:firstLine="640" w:firstLineChars="200"/>
        <w:jc w:val="both"/>
        <w:textAlignment w:val="auto"/>
        <w:outlineLvl w:val="9"/>
        <w:rPr>
          <w:rFonts w:hint="default"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rPr>
        <w:t>（一）</w:t>
      </w:r>
      <w:r>
        <w:rPr>
          <w:rFonts w:hint="eastAsia" w:ascii="仿宋" w:hAnsi="仿宋" w:eastAsia="仿宋" w:cs="仿宋"/>
          <w:color w:val="auto"/>
          <w:sz w:val="32"/>
          <w:szCs w:val="32"/>
          <w:highlight w:val="none"/>
          <w:vertAlign w:val="baseline"/>
          <w:lang w:val="en-US" w:eastAsia="zh-CN"/>
        </w:rPr>
        <w:t>定级组织单位对负责现场评审的单位提交的现场评审报告审核不严，出具与实际情况不相符的审核结论的</w:t>
      </w:r>
      <w:r>
        <w:rPr>
          <w:rFonts w:hint="eastAsia" w:ascii="仿宋" w:hAnsi="仿宋" w:eastAsia="仿宋" w:cs="仿宋"/>
          <w:color w:val="auto"/>
          <w:sz w:val="32"/>
          <w:szCs w:val="32"/>
          <w:highlight w:val="none"/>
          <w:vertAlign w:val="baseline"/>
          <w:lang w:eastAsia="zh-CN"/>
        </w:rPr>
        <w:t>，且造成重大损失的；</w:t>
      </w:r>
    </w:p>
    <w:p>
      <w:pPr>
        <w:keepNext w:val="0"/>
        <w:keepLines w:val="0"/>
        <w:pageBreakBefore w:val="0"/>
        <w:widowControl w:val="0"/>
        <w:kinsoku/>
        <w:wordWrap/>
        <w:overflowPunct w:val="0"/>
        <w:topLinePunct w:val="0"/>
        <w:autoSpaceDE/>
        <w:autoSpaceDN/>
        <w:bidi w:val="0"/>
        <w:adjustRightInd w:val="0"/>
        <w:snapToGrid w:val="0"/>
        <w:spacing w:afterLines="0" w:line="510" w:lineRule="exact"/>
        <w:ind w:firstLine="640" w:firstLineChars="200"/>
        <w:jc w:val="both"/>
        <w:textAlignment w:val="auto"/>
        <w:outlineLvl w:val="9"/>
        <w:rPr>
          <w:rFonts w:hint="eastAsia" w:ascii="仿宋" w:hAnsi="仿宋" w:eastAsia="仿宋" w:cs="仿宋"/>
          <w:color w:val="auto"/>
          <w:sz w:val="32"/>
          <w:szCs w:val="32"/>
          <w:highlight w:val="none"/>
          <w:vertAlign w:val="baseline"/>
        </w:rPr>
      </w:pPr>
      <w:r>
        <w:rPr>
          <w:rFonts w:hint="eastAsia" w:ascii="仿宋" w:hAnsi="仿宋" w:eastAsia="仿宋" w:cs="仿宋"/>
          <w:color w:val="auto"/>
          <w:sz w:val="32"/>
          <w:szCs w:val="32"/>
          <w:highlight w:val="none"/>
          <w:vertAlign w:val="baseline"/>
          <w:lang w:eastAsia="zh-CN"/>
        </w:rPr>
        <w:t>（</w:t>
      </w:r>
      <w:r>
        <w:rPr>
          <w:rFonts w:hint="eastAsia" w:ascii="仿宋" w:hAnsi="仿宋" w:eastAsia="仿宋" w:cs="仿宋"/>
          <w:color w:val="auto"/>
          <w:sz w:val="32"/>
          <w:szCs w:val="32"/>
          <w:highlight w:val="none"/>
          <w:vertAlign w:val="baseline"/>
          <w:lang w:val="en-US" w:eastAsia="zh-CN"/>
        </w:rPr>
        <w:t>二</w:t>
      </w:r>
      <w:r>
        <w:rPr>
          <w:rFonts w:hint="eastAsia" w:ascii="仿宋" w:hAnsi="仿宋" w:eastAsia="仿宋" w:cs="仿宋"/>
          <w:color w:val="auto"/>
          <w:sz w:val="32"/>
          <w:szCs w:val="32"/>
          <w:highlight w:val="none"/>
          <w:vertAlign w:val="baseline"/>
          <w:lang w:eastAsia="zh-CN"/>
        </w:rPr>
        <w:t>）</w:t>
      </w:r>
      <w:r>
        <w:rPr>
          <w:rFonts w:hint="eastAsia" w:ascii="仿宋" w:hAnsi="仿宋" w:eastAsia="仿宋" w:cs="仿宋"/>
          <w:color w:val="auto"/>
          <w:sz w:val="32"/>
          <w:szCs w:val="32"/>
          <w:highlight w:val="none"/>
          <w:vertAlign w:val="baseline"/>
        </w:rPr>
        <w:t>负责现场评审的单位</w:t>
      </w:r>
      <w:r>
        <w:rPr>
          <w:rFonts w:hint="eastAsia" w:ascii="仿宋" w:hAnsi="仿宋" w:eastAsia="仿宋" w:cs="仿宋"/>
          <w:color w:val="auto"/>
          <w:sz w:val="32"/>
          <w:szCs w:val="32"/>
          <w:highlight w:val="none"/>
          <w:vertAlign w:val="baseline"/>
          <w:lang w:val="en-US" w:eastAsia="zh-CN"/>
        </w:rPr>
        <w:t>出具的</w:t>
      </w:r>
      <w:r>
        <w:rPr>
          <w:rFonts w:hint="eastAsia" w:ascii="仿宋" w:hAnsi="仿宋" w:eastAsia="仿宋" w:cs="仿宋"/>
          <w:color w:val="auto"/>
          <w:sz w:val="32"/>
          <w:szCs w:val="32"/>
          <w:highlight w:val="none"/>
          <w:vertAlign w:val="baseline"/>
        </w:rPr>
        <w:t>现场评审结论失实</w:t>
      </w:r>
      <w:r>
        <w:rPr>
          <w:rFonts w:hint="eastAsia" w:ascii="仿宋" w:hAnsi="仿宋" w:eastAsia="仿宋" w:cs="仿宋"/>
          <w:color w:val="auto"/>
          <w:sz w:val="32"/>
          <w:szCs w:val="32"/>
          <w:highlight w:val="none"/>
          <w:vertAlign w:val="baseline"/>
          <w:lang w:eastAsia="zh-CN"/>
        </w:rPr>
        <w:t>，且造成重大损失的；</w:t>
      </w:r>
    </w:p>
    <w:p>
      <w:pPr>
        <w:keepNext w:val="0"/>
        <w:keepLines w:val="0"/>
        <w:pageBreakBefore w:val="0"/>
        <w:widowControl w:val="0"/>
        <w:kinsoku/>
        <w:wordWrap/>
        <w:overflowPunct w:val="0"/>
        <w:topLinePunct w:val="0"/>
        <w:autoSpaceDE/>
        <w:autoSpaceDN/>
        <w:bidi w:val="0"/>
        <w:adjustRightInd w:val="0"/>
        <w:snapToGrid w:val="0"/>
        <w:spacing w:afterLines="0" w:line="510" w:lineRule="exact"/>
        <w:ind w:firstLine="640" w:firstLineChars="200"/>
        <w:jc w:val="both"/>
        <w:textAlignment w:val="auto"/>
        <w:outlineLvl w:val="9"/>
        <w:rPr>
          <w:rFonts w:hint="eastAsia" w:ascii="仿宋" w:hAnsi="仿宋" w:eastAsia="仿宋" w:cs="仿宋"/>
          <w:color w:val="auto"/>
          <w:sz w:val="32"/>
          <w:szCs w:val="32"/>
          <w:highlight w:val="none"/>
          <w:vertAlign w:val="baseline"/>
        </w:rPr>
      </w:pPr>
      <w:r>
        <w:rPr>
          <w:rFonts w:hint="eastAsia" w:ascii="仿宋" w:hAnsi="仿宋" w:eastAsia="仿宋" w:cs="仿宋"/>
          <w:color w:val="auto"/>
          <w:sz w:val="32"/>
          <w:szCs w:val="32"/>
          <w:highlight w:val="none"/>
          <w:vertAlign w:val="baseline"/>
        </w:rPr>
        <w:t>（二）</w:t>
      </w:r>
      <w:r>
        <w:rPr>
          <w:rFonts w:hint="eastAsia" w:ascii="仿宋" w:hAnsi="仿宋" w:eastAsia="仿宋" w:cs="仿宋"/>
          <w:color w:val="auto"/>
          <w:sz w:val="32"/>
          <w:szCs w:val="32"/>
          <w:highlight w:val="none"/>
          <w:vertAlign w:val="baseline"/>
          <w:lang w:val="en-US" w:eastAsia="zh-CN"/>
        </w:rPr>
        <w:t>负责现场评审的单位</w:t>
      </w:r>
      <w:r>
        <w:rPr>
          <w:rFonts w:hint="eastAsia" w:ascii="仿宋" w:hAnsi="仿宋" w:eastAsia="仿宋" w:cs="仿宋"/>
          <w:color w:val="auto"/>
          <w:sz w:val="32"/>
          <w:szCs w:val="32"/>
          <w:highlight w:val="none"/>
          <w:vertAlign w:val="baseline"/>
        </w:rPr>
        <w:t>评审技术人员不到现场</w:t>
      </w:r>
      <w:r>
        <w:rPr>
          <w:rFonts w:hint="eastAsia" w:ascii="仿宋" w:hAnsi="仿宋" w:eastAsia="仿宋" w:cs="仿宋"/>
          <w:color w:val="auto"/>
          <w:sz w:val="32"/>
          <w:szCs w:val="32"/>
          <w:highlight w:val="none"/>
          <w:vertAlign w:val="baseline"/>
          <w:lang w:val="en-US" w:eastAsia="zh-CN"/>
        </w:rPr>
        <w:t>参与</w:t>
      </w:r>
      <w:r>
        <w:rPr>
          <w:rFonts w:hint="eastAsia" w:ascii="仿宋" w:hAnsi="仿宋" w:eastAsia="仿宋" w:cs="仿宋"/>
          <w:color w:val="auto"/>
          <w:sz w:val="32"/>
          <w:szCs w:val="32"/>
          <w:highlight w:val="none"/>
          <w:vertAlign w:val="baseline"/>
        </w:rPr>
        <w:t>评审</w:t>
      </w:r>
      <w:r>
        <w:rPr>
          <w:rFonts w:hint="eastAsia" w:ascii="仿宋" w:hAnsi="仿宋" w:eastAsia="仿宋" w:cs="仿宋"/>
          <w:color w:val="auto"/>
          <w:sz w:val="32"/>
          <w:szCs w:val="32"/>
          <w:highlight w:val="none"/>
          <w:vertAlign w:val="baseline"/>
          <w:lang w:val="en-US" w:eastAsia="zh-CN"/>
        </w:rPr>
        <w:t>工作</w:t>
      </w:r>
      <w:r>
        <w:rPr>
          <w:rFonts w:hint="eastAsia" w:ascii="仿宋" w:hAnsi="仿宋" w:eastAsia="仿宋" w:cs="仿宋"/>
          <w:color w:val="auto"/>
          <w:sz w:val="32"/>
          <w:szCs w:val="32"/>
          <w:highlight w:val="none"/>
          <w:vertAlign w:val="baseline"/>
        </w:rPr>
        <w:t>的</w:t>
      </w:r>
      <w:r>
        <w:rPr>
          <w:rFonts w:hint="eastAsia" w:ascii="仿宋" w:hAnsi="仿宋" w:eastAsia="仿宋" w:cs="仿宋"/>
          <w:color w:val="auto"/>
          <w:sz w:val="32"/>
          <w:szCs w:val="32"/>
          <w:highlight w:val="none"/>
          <w:vertAlign w:val="baseline"/>
          <w:lang w:eastAsia="zh-CN"/>
        </w:rPr>
        <w:t>；</w:t>
      </w:r>
    </w:p>
    <w:p>
      <w:pPr>
        <w:keepNext w:val="0"/>
        <w:keepLines w:val="0"/>
        <w:pageBreakBefore w:val="0"/>
        <w:widowControl w:val="0"/>
        <w:kinsoku/>
        <w:wordWrap/>
        <w:overflowPunct w:val="0"/>
        <w:topLinePunct w:val="0"/>
        <w:autoSpaceDE/>
        <w:autoSpaceDN/>
        <w:bidi w:val="0"/>
        <w:adjustRightInd w:val="0"/>
        <w:snapToGrid w:val="0"/>
        <w:spacing w:afterLines="0" w:line="510" w:lineRule="exact"/>
        <w:ind w:firstLine="640" w:firstLineChars="200"/>
        <w:jc w:val="both"/>
        <w:textAlignment w:val="auto"/>
        <w:outlineLvl w:val="9"/>
        <w:rPr>
          <w:rFonts w:hint="eastAsia" w:ascii="仿宋" w:hAnsi="仿宋" w:eastAsia="仿宋" w:cs="仿宋"/>
          <w:color w:val="auto"/>
          <w:sz w:val="32"/>
          <w:szCs w:val="32"/>
          <w:highlight w:val="none"/>
          <w:vertAlign w:val="baseline"/>
        </w:rPr>
      </w:pPr>
      <w:r>
        <w:rPr>
          <w:rFonts w:hint="eastAsia" w:ascii="仿宋" w:hAnsi="仿宋" w:eastAsia="仿宋" w:cs="仿宋"/>
          <w:color w:val="auto"/>
          <w:sz w:val="32"/>
          <w:szCs w:val="32"/>
          <w:highlight w:val="none"/>
          <w:vertAlign w:val="baseline"/>
        </w:rPr>
        <w:t>（三）</w:t>
      </w:r>
      <w:r>
        <w:rPr>
          <w:rFonts w:hint="eastAsia" w:ascii="仿宋" w:hAnsi="仿宋" w:eastAsia="仿宋" w:cs="仿宋"/>
          <w:color w:val="auto"/>
          <w:sz w:val="32"/>
          <w:szCs w:val="32"/>
          <w:highlight w:val="none"/>
          <w:vertAlign w:val="baseline"/>
          <w:lang w:val="en-US" w:eastAsia="zh-CN"/>
        </w:rPr>
        <w:t>负责现场评审的单位</w:t>
      </w:r>
      <w:r>
        <w:rPr>
          <w:rFonts w:hint="eastAsia" w:ascii="仿宋" w:hAnsi="仿宋" w:eastAsia="仿宋" w:cs="仿宋"/>
          <w:color w:val="auto"/>
          <w:sz w:val="32"/>
          <w:szCs w:val="32"/>
          <w:highlight w:val="none"/>
          <w:vertAlign w:val="baseline"/>
        </w:rPr>
        <w:t>出具虚假</w:t>
      </w:r>
      <w:r>
        <w:rPr>
          <w:rFonts w:hint="eastAsia" w:ascii="仿宋" w:hAnsi="仿宋" w:eastAsia="仿宋" w:cs="仿宋"/>
          <w:color w:val="auto"/>
          <w:sz w:val="32"/>
          <w:szCs w:val="32"/>
          <w:highlight w:val="none"/>
          <w:vertAlign w:val="baseline"/>
          <w:lang w:val="en-US" w:eastAsia="zh-CN"/>
        </w:rPr>
        <w:t>现场评审</w:t>
      </w:r>
      <w:r>
        <w:rPr>
          <w:rFonts w:hint="eastAsia" w:ascii="仿宋" w:hAnsi="仿宋" w:eastAsia="仿宋" w:cs="仿宋"/>
          <w:color w:val="auto"/>
          <w:sz w:val="32"/>
          <w:szCs w:val="32"/>
          <w:highlight w:val="none"/>
          <w:vertAlign w:val="baseline"/>
        </w:rPr>
        <w:t>报告的</w:t>
      </w:r>
      <w:r>
        <w:rPr>
          <w:rFonts w:hint="eastAsia" w:ascii="仿宋" w:hAnsi="仿宋" w:eastAsia="仿宋" w:cs="仿宋"/>
          <w:color w:val="auto"/>
          <w:sz w:val="32"/>
          <w:szCs w:val="32"/>
          <w:highlight w:val="none"/>
          <w:vertAlign w:val="baseline"/>
          <w:lang w:eastAsia="zh-CN"/>
        </w:rPr>
        <w:t>；</w:t>
      </w:r>
    </w:p>
    <w:p>
      <w:pPr>
        <w:keepNext w:val="0"/>
        <w:keepLines w:val="0"/>
        <w:pageBreakBefore w:val="0"/>
        <w:widowControl w:val="0"/>
        <w:kinsoku/>
        <w:wordWrap/>
        <w:overflowPunct w:val="0"/>
        <w:topLinePunct w:val="0"/>
        <w:autoSpaceDE/>
        <w:autoSpaceDN/>
        <w:bidi w:val="0"/>
        <w:adjustRightInd w:val="0"/>
        <w:snapToGrid w:val="0"/>
        <w:spacing w:afterLines="0" w:line="510" w:lineRule="exact"/>
        <w:ind w:firstLine="640" w:firstLineChars="200"/>
        <w:jc w:val="both"/>
        <w:textAlignment w:val="auto"/>
        <w:outlineLvl w:val="9"/>
        <w:rPr>
          <w:rFonts w:hint="eastAsia" w:ascii="仿宋" w:hAnsi="仿宋" w:eastAsia="仿宋" w:cs="仿宋"/>
          <w:color w:val="auto"/>
          <w:sz w:val="32"/>
          <w:szCs w:val="32"/>
          <w:highlight w:val="none"/>
          <w:vertAlign w:val="baseline"/>
        </w:rPr>
      </w:pPr>
      <w:r>
        <w:rPr>
          <w:rFonts w:hint="eastAsia" w:ascii="仿宋" w:hAnsi="仿宋" w:eastAsia="仿宋" w:cs="仿宋"/>
          <w:color w:val="auto"/>
          <w:sz w:val="32"/>
          <w:szCs w:val="32"/>
          <w:highlight w:val="none"/>
          <w:vertAlign w:val="baseline"/>
        </w:rPr>
        <w:t>（四）</w:t>
      </w:r>
      <w:r>
        <w:rPr>
          <w:rFonts w:hint="eastAsia" w:ascii="仿宋" w:hAnsi="仿宋" w:eastAsia="仿宋" w:cs="仿宋"/>
          <w:color w:val="auto"/>
          <w:sz w:val="32"/>
          <w:szCs w:val="32"/>
          <w:highlight w:val="none"/>
          <w:vertAlign w:val="baseline"/>
          <w:lang w:val="en-US" w:eastAsia="zh-CN"/>
        </w:rPr>
        <w:t>负责现场评审的单位</w:t>
      </w:r>
      <w:r>
        <w:rPr>
          <w:rFonts w:hint="eastAsia" w:ascii="仿宋" w:hAnsi="仿宋" w:eastAsia="仿宋" w:cs="仿宋"/>
          <w:color w:val="auto"/>
          <w:sz w:val="32"/>
          <w:szCs w:val="32"/>
          <w:highlight w:val="none"/>
          <w:vertAlign w:val="baseline"/>
        </w:rPr>
        <w:t>评审技术人员专业能力未能涵盖评审行业专业领域仍开展评审业务的</w:t>
      </w:r>
      <w:r>
        <w:rPr>
          <w:rFonts w:hint="eastAsia" w:ascii="仿宋" w:hAnsi="仿宋" w:eastAsia="仿宋" w:cs="仿宋"/>
          <w:color w:val="auto"/>
          <w:sz w:val="32"/>
          <w:szCs w:val="32"/>
          <w:highlight w:val="none"/>
          <w:vertAlign w:val="baseline"/>
          <w:lang w:eastAsia="zh-CN"/>
        </w:rPr>
        <w:t>；</w:t>
      </w:r>
    </w:p>
    <w:p>
      <w:pPr>
        <w:keepNext w:val="0"/>
        <w:keepLines w:val="0"/>
        <w:pageBreakBefore w:val="0"/>
        <w:widowControl w:val="0"/>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FF0000"/>
          <w:sz w:val="32"/>
          <w:szCs w:val="32"/>
          <w:highlight w:val="none"/>
          <w:lang w:val="en-US" w:eastAsia="zh-CN"/>
        </w:rPr>
      </w:pPr>
      <w:r>
        <w:rPr>
          <w:rFonts w:hint="eastAsia" w:ascii="仿宋" w:hAnsi="仿宋" w:eastAsia="仿宋" w:cs="仿宋"/>
          <w:color w:val="auto"/>
          <w:sz w:val="32"/>
          <w:szCs w:val="32"/>
          <w:highlight w:val="none"/>
          <w:vertAlign w:val="baseline"/>
        </w:rPr>
        <w:t>（五）</w:t>
      </w:r>
      <w:r>
        <w:rPr>
          <w:rFonts w:hint="eastAsia" w:ascii="仿宋" w:hAnsi="仿宋" w:eastAsia="仿宋" w:cs="仿宋"/>
          <w:color w:val="auto"/>
          <w:sz w:val="32"/>
          <w:szCs w:val="32"/>
          <w:highlight w:val="none"/>
          <w:vertAlign w:val="baseline"/>
          <w:lang w:val="en-US" w:eastAsia="zh-CN"/>
        </w:rPr>
        <w:t>定级</w:t>
      </w:r>
      <w:r>
        <w:rPr>
          <w:rFonts w:hint="eastAsia" w:ascii="仿宋" w:hAnsi="仿宋" w:eastAsia="仿宋" w:cs="仿宋"/>
          <w:color w:val="auto"/>
          <w:sz w:val="32"/>
          <w:szCs w:val="32"/>
          <w:highlight w:val="none"/>
          <w:vertAlign w:val="baseline"/>
        </w:rPr>
        <w:t>组织单位和负责现场评审的单位</w:t>
      </w:r>
      <w:r>
        <w:rPr>
          <w:rFonts w:hint="eastAsia" w:ascii="仿宋" w:hAnsi="仿宋" w:eastAsia="仿宋" w:cs="仿宋"/>
          <w:color w:val="auto"/>
          <w:sz w:val="32"/>
          <w:szCs w:val="32"/>
          <w:highlight w:val="none"/>
          <w:vertAlign w:val="baseline"/>
          <w:lang w:val="en-US" w:eastAsia="zh-CN"/>
        </w:rPr>
        <w:t>及其人员</w:t>
      </w:r>
      <w:r>
        <w:rPr>
          <w:rFonts w:hint="eastAsia" w:ascii="仿宋" w:hAnsi="仿宋" w:eastAsia="仿宋" w:cs="仿宋"/>
          <w:color w:val="auto"/>
          <w:sz w:val="32"/>
          <w:szCs w:val="32"/>
          <w:highlight w:val="none"/>
          <w:vertAlign w:val="baseline"/>
        </w:rPr>
        <w:t>参与被评审企业的标准化培训、咨询相关工作，或存在收取企业费用的。</w:t>
      </w:r>
    </w:p>
    <w:p>
      <w:pPr>
        <w:keepNext w:val="0"/>
        <w:keepLines w:val="0"/>
        <w:pageBreakBefore w:val="0"/>
        <w:widowControl w:val="0"/>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第二十七条</w:t>
      </w:r>
      <w:r>
        <w:rPr>
          <w:rFonts w:hint="eastAsia" w:ascii="黑体" w:hAnsi="黑体" w:eastAsia="黑体" w:cs="黑体"/>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各地级以上市应急管理部门可以根据本办法和本地区实际制定三级企业安全生产标准化建设定级办法，并送广东省应急管理厅备案。</w:t>
      </w:r>
    </w:p>
    <w:p>
      <w:pPr>
        <w:keepNext w:val="0"/>
        <w:keepLines w:val="0"/>
        <w:pageBreakBefore w:val="0"/>
        <w:widowControl w:val="0"/>
        <w:kinsoku/>
        <w:wordWrap/>
        <w:overflowPunct w:val="0"/>
        <w:topLinePunct w:val="0"/>
        <w:autoSpaceDE/>
        <w:autoSpaceDN/>
        <w:bidi w:val="0"/>
        <w:adjustRightInd w:val="0"/>
        <w:snapToGrid w:val="0"/>
        <w:spacing w:afterLines="0" w:line="510" w:lineRule="exact"/>
        <w:ind w:firstLine="0" w:firstLineChars="0"/>
        <w:jc w:val="center"/>
        <w:textAlignment w:val="auto"/>
        <w:rPr>
          <w:rFonts w:hint="eastAsia" w:ascii="黑体" w:hAnsi="黑体" w:eastAsia="黑体" w:cs="黑体"/>
          <w:b w:val="0"/>
          <w:bCs w:val="0"/>
          <w:color w:val="auto"/>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after="0" w:afterLines="0" w:line="510" w:lineRule="exact"/>
        <w:ind w:firstLine="0" w:firstLineChars="0"/>
        <w:jc w:val="center"/>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第六章 附则</w:t>
      </w:r>
    </w:p>
    <w:p>
      <w:pPr>
        <w:keepNext w:val="0"/>
        <w:keepLines w:val="0"/>
        <w:pageBreakBefore w:val="0"/>
        <w:widowControl w:val="0"/>
        <w:kinsoku/>
        <w:wordWrap/>
        <w:overflowPunct w:val="0"/>
        <w:topLinePunct w:val="0"/>
        <w:autoSpaceDE/>
        <w:autoSpaceDN/>
        <w:bidi w:val="0"/>
        <w:adjustRightInd/>
        <w:snapToGrid/>
        <w:spacing w:after="0" w:afterLines="0" w:line="510" w:lineRule="exact"/>
        <w:ind w:firstLine="0" w:firstLineChars="0"/>
        <w:jc w:val="center"/>
        <w:textAlignment w:val="auto"/>
        <w:rPr>
          <w:rFonts w:hint="eastAsia" w:ascii="黑体" w:hAnsi="黑体" w:eastAsia="黑体" w:cs="黑体"/>
          <w:b w:val="0"/>
          <w:bCs w:val="0"/>
          <w:color w:val="auto"/>
          <w:sz w:val="32"/>
          <w:szCs w:val="32"/>
          <w:highlight w:val="none"/>
          <w:lang w:val="en-US" w:eastAsia="zh-CN"/>
        </w:rPr>
      </w:pPr>
    </w:p>
    <w:p>
      <w:pPr>
        <w:pStyle w:val="7"/>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Lines="0" w:afterAutospacing="0" w:line="510" w:lineRule="exact"/>
        <w:ind w:left="0" w:leftChars="0" w:right="0" w:firstLine="640" w:firstLineChars="200"/>
        <w:jc w:val="both"/>
        <w:textAlignment w:val="auto"/>
        <w:rPr>
          <w:rFonts w:hint="default" w:ascii="仿宋" w:hAnsi="仿宋" w:eastAsia="仿宋" w:cs="仿宋"/>
          <w:color w:val="auto"/>
          <w:sz w:val="32"/>
          <w:szCs w:val="32"/>
          <w:highlight w:val="none"/>
          <w:u w:val="none"/>
        </w:rPr>
      </w:pPr>
      <w:r>
        <w:rPr>
          <w:rFonts w:hint="eastAsia" w:ascii="黑体" w:hAnsi="黑体" w:eastAsia="黑体" w:cs="黑体"/>
          <w:b w:val="0"/>
          <w:bCs w:val="0"/>
          <w:color w:val="auto"/>
          <w:sz w:val="32"/>
          <w:szCs w:val="32"/>
          <w:highlight w:val="none"/>
          <w:lang w:val="en-US" w:eastAsia="zh-CN"/>
        </w:rPr>
        <w:t>第二十八条</w:t>
      </w:r>
      <w:r>
        <w:rPr>
          <w:rFonts w:hint="eastAsia" w:ascii="仿宋" w:hAnsi="仿宋" w:eastAsia="仿宋" w:cs="仿宋"/>
          <w:color w:val="auto"/>
          <w:sz w:val="32"/>
          <w:szCs w:val="32"/>
          <w:highlight w:val="none"/>
          <w:lang w:val="en-US" w:eastAsia="zh-CN"/>
        </w:rPr>
        <w:t xml:space="preserve"> 本办法由广东省应急管理厅负责解释，自2022年6月1日起施行，有效期5年。</w:t>
      </w:r>
    </w:p>
    <w:p>
      <w:pPr>
        <w:keepNext w:val="0"/>
        <w:keepLines w:val="0"/>
        <w:pageBreakBefore w:val="0"/>
        <w:widowControl w:val="0"/>
        <w:kinsoku/>
        <w:wordWrap/>
        <w:overflowPunct w:val="0"/>
        <w:topLinePunct w:val="0"/>
        <w:autoSpaceDE/>
        <w:autoSpaceDN/>
        <w:bidi w:val="0"/>
        <w:adjustRightInd w:val="0"/>
        <w:snapToGrid w:val="0"/>
        <w:spacing w:afterLines="0" w:line="510" w:lineRule="exact"/>
        <w:ind w:firstLine="640" w:firstLineChars="200"/>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val="0"/>
        <w:snapToGrid w:val="0"/>
        <w:spacing w:afterLines="0" w:line="510" w:lineRule="exact"/>
        <w:ind w:firstLine="640" w:firstLineChars="200"/>
        <w:jc w:val="both"/>
        <w:textAlignment w:val="auto"/>
        <w:rPr>
          <w:rStyle w:val="11"/>
          <w:rFonts w:hint="eastAsia" w:ascii="仿宋" w:hAnsi="仿宋" w:eastAsia="仿宋" w:cs="仿宋"/>
          <w:i w:val="0"/>
          <w:iCs w:val="0"/>
          <w:caps w:val="0"/>
          <w:color w:val="auto"/>
          <w:spacing w:val="0"/>
          <w:sz w:val="32"/>
          <w:szCs w:val="32"/>
          <w:highlight w:val="none"/>
          <w:u w:val="none"/>
          <w:shd w:val="clear" w:color="auto" w:fill="FFFFFF"/>
        </w:rPr>
      </w:pPr>
      <w:r>
        <w:rPr>
          <w:rFonts w:hint="eastAsia" w:ascii="仿宋" w:hAnsi="仿宋" w:eastAsia="仿宋" w:cs="仿宋"/>
          <w:color w:val="auto"/>
          <w:sz w:val="32"/>
          <w:szCs w:val="32"/>
          <w:highlight w:val="none"/>
          <w:lang w:val="en-US" w:eastAsia="zh-CN"/>
        </w:rPr>
        <w:t>附件：1</w:t>
      </w:r>
      <w:r>
        <w:rPr>
          <w:rFonts w:hint="default" w:ascii="仿宋" w:hAnsi="仿宋" w:eastAsia="仿宋" w:cs="仿宋"/>
          <w:color w:val="auto"/>
          <w:sz w:val="32"/>
          <w:szCs w:val="32"/>
          <w:highlight w:val="none"/>
          <w:lang w:val="en" w:eastAsia="zh-CN"/>
        </w:rPr>
        <w:t>.</w:t>
      </w:r>
      <w:r>
        <w:rPr>
          <w:rStyle w:val="11"/>
          <w:rFonts w:hint="eastAsia" w:ascii="仿宋" w:hAnsi="仿宋" w:eastAsia="仿宋" w:cs="仿宋"/>
          <w:i w:val="0"/>
          <w:iCs w:val="0"/>
          <w:caps w:val="0"/>
          <w:color w:val="auto"/>
          <w:spacing w:val="0"/>
          <w:sz w:val="32"/>
          <w:szCs w:val="32"/>
          <w:highlight w:val="none"/>
          <w:u w:val="none"/>
          <w:shd w:val="clear" w:color="auto" w:fill="FFFFFF"/>
        </w:rPr>
        <w:t>企业安全生产标准化自评报告</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510" w:lineRule="exact"/>
        <w:ind w:left="0" w:leftChars="0" w:firstLine="1600" w:firstLineChars="500"/>
        <w:jc w:val="both"/>
        <w:textAlignment w:val="auto"/>
        <w:rPr>
          <w:rStyle w:val="11"/>
          <w:rFonts w:hint="default" w:ascii="仿宋" w:hAnsi="仿宋" w:eastAsia="仿宋" w:cs="仿宋"/>
          <w:i w:val="0"/>
          <w:iCs w:val="0"/>
          <w:caps w:val="0"/>
          <w:color w:val="auto"/>
          <w:spacing w:val="0"/>
          <w:sz w:val="32"/>
          <w:szCs w:val="32"/>
          <w:highlight w:val="none"/>
          <w:u w:val="none"/>
          <w:shd w:val="clear" w:color="auto" w:fill="FFFFFF"/>
          <w:lang w:val="en-US" w:eastAsia="zh-CN"/>
        </w:rPr>
      </w:pPr>
      <w:r>
        <w:rPr>
          <w:rStyle w:val="11"/>
          <w:rFonts w:hint="eastAsia" w:ascii="仿宋" w:hAnsi="仿宋" w:eastAsia="仿宋" w:cs="仿宋"/>
          <w:i w:val="0"/>
          <w:iCs w:val="0"/>
          <w:caps w:val="0"/>
          <w:color w:val="auto"/>
          <w:spacing w:val="0"/>
          <w:sz w:val="32"/>
          <w:szCs w:val="32"/>
          <w:highlight w:val="none"/>
          <w:u w:val="none"/>
          <w:shd w:val="clear" w:color="auto" w:fill="FFFFFF"/>
          <w:lang w:val="en-US" w:eastAsia="zh-CN"/>
        </w:rPr>
        <w:t>2</w:t>
      </w:r>
      <w:r>
        <w:rPr>
          <w:rStyle w:val="11"/>
          <w:rFonts w:hint="default" w:ascii="仿宋" w:hAnsi="仿宋" w:eastAsia="仿宋" w:cs="仿宋"/>
          <w:i w:val="0"/>
          <w:iCs w:val="0"/>
          <w:caps w:val="0"/>
          <w:color w:val="auto"/>
          <w:spacing w:val="0"/>
          <w:sz w:val="32"/>
          <w:szCs w:val="32"/>
          <w:highlight w:val="none"/>
          <w:u w:val="none"/>
          <w:shd w:val="clear" w:color="auto" w:fill="FFFFFF"/>
          <w:lang w:val="en" w:eastAsia="zh-CN"/>
        </w:rPr>
        <w:t>.</w:t>
      </w:r>
      <w:r>
        <w:rPr>
          <w:rStyle w:val="11"/>
          <w:rFonts w:hint="eastAsia" w:ascii="仿宋" w:hAnsi="仿宋" w:eastAsia="仿宋" w:cs="仿宋"/>
          <w:i w:val="0"/>
          <w:iCs w:val="0"/>
          <w:caps w:val="0"/>
          <w:color w:val="auto"/>
          <w:spacing w:val="0"/>
          <w:sz w:val="32"/>
          <w:szCs w:val="32"/>
          <w:highlight w:val="none"/>
          <w:u w:val="none"/>
          <w:shd w:val="clear" w:color="auto" w:fill="FFFFFF"/>
        </w:rPr>
        <w:t>企业安全生产标准化</w:t>
      </w:r>
      <w:r>
        <w:rPr>
          <w:rStyle w:val="11"/>
          <w:rFonts w:hint="eastAsia" w:ascii="仿宋" w:hAnsi="仿宋" w:eastAsia="仿宋" w:cs="仿宋"/>
          <w:i w:val="0"/>
          <w:iCs w:val="0"/>
          <w:caps w:val="0"/>
          <w:color w:val="auto"/>
          <w:spacing w:val="0"/>
          <w:sz w:val="32"/>
          <w:szCs w:val="32"/>
          <w:highlight w:val="none"/>
          <w:u w:val="none"/>
          <w:shd w:val="clear" w:color="auto" w:fill="FFFFFF"/>
          <w:lang w:val="en-US" w:eastAsia="zh-CN"/>
        </w:rPr>
        <w:t>自评报告审核意见表</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510" w:lineRule="exact"/>
        <w:ind w:firstLine="1600" w:firstLineChars="500"/>
        <w:jc w:val="both"/>
        <w:textAlignment w:val="auto"/>
        <w:rPr>
          <w:rFonts w:hint="eastAsia" w:ascii="仿宋" w:hAnsi="仿宋" w:eastAsia="仿宋" w:cs="仿宋"/>
          <w:i w:val="0"/>
          <w:iCs w:val="0"/>
          <w:caps w:val="0"/>
          <w:color w:val="auto"/>
          <w:spacing w:val="0"/>
          <w:sz w:val="32"/>
          <w:szCs w:val="32"/>
          <w:highlight w:val="none"/>
          <w:u w:val="none"/>
          <w:shd w:val="clear" w:color="auto" w:fill="FFFFFF"/>
        </w:rPr>
      </w:pPr>
      <w:r>
        <w:rPr>
          <w:rStyle w:val="11"/>
          <w:rFonts w:hint="eastAsia" w:ascii="仿宋" w:hAnsi="仿宋" w:eastAsia="仿宋" w:cs="仿宋"/>
          <w:i w:val="0"/>
          <w:iCs w:val="0"/>
          <w:caps w:val="0"/>
          <w:color w:val="auto"/>
          <w:spacing w:val="0"/>
          <w:sz w:val="32"/>
          <w:szCs w:val="32"/>
          <w:highlight w:val="none"/>
          <w:u w:val="none"/>
          <w:shd w:val="clear" w:color="auto" w:fill="FFFFFF"/>
          <w:lang w:val="en-US" w:eastAsia="zh-CN"/>
        </w:rPr>
        <w:t>3</w:t>
      </w:r>
      <w:r>
        <w:rPr>
          <w:rStyle w:val="11"/>
          <w:rFonts w:hint="default" w:ascii="仿宋" w:hAnsi="仿宋" w:eastAsia="仿宋" w:cs="仿宋"/>
          <w:i w:val="0"/>
          <w:iCs w:val="0"/>
          <w:caps w:val="0"/>
          <w:color w:val="auto"/>
          <w:spacing w:val="0"/>
          <w:sz w:val="32"/>
          <w:szCs w:val="32"/>
          <w:highlight w:val="none"/>
          <w:u w:val="none"/>
          <w:shd w:val="clear" w:color="auto" w:fill="FFFFFF"/>
          <w:lang w:val="en" w:eastAsia="zh-CN"/>
        </w:rPr>
        <w:t>.</w:t>
      </w:r>
      <w:r>
        <w:rPr>
          <w:rFonts w:hint="eastAsia" w:ascii="仿宋" w:hAnsi="仿宋" w:eastAsia="仿宋" w:cs="仿宋"/>
          <w:i w:val="0"/>
          <w:iCs w:val="0"/>
          <w:caps w:val="0"/>
          <w:color w:val="auto"/>
          <w:spacing w:val="0"/>
          <w:sz w:val="32"/>
          <w:szCs w:val="32"/>
          <w:highlight w:val="none"/>
          <w:u w:val="none"/>
          <w:shd w:val="clear" w:color="auto" w:fill="FFFFFF"/>
        </w:rPr>
        <w:fldChar w:fldCharType="begin"/>
      </w:r>
      <w:r>
        <w:rPr>
          <w:rFonts w:hint="eastAsia" w:ascii="仿宋" w:hAnsi="仿宋" w:eastAsia="仿宋" w:cs="仿宋"/>
          <w:i w:val="0"/>
          <w:iCs w:val="0"/>
          <w:caps w:val="0"/>
          <w:color w:val="auto"/>
          <w:spacing w:val="0"/>
          <w:sz w:val="32"/>
          <w:szCs w:val="32"/>
          <w:highlight w:val="none"/>
          <w:u w:val="none"/>
          <w:shd w:val="clear" w:color="auto" w:fill="FFFFFF"/>
        </w:rPr>
        <w:instrText xml:space="preserve"> HYPERLINK "https://www.mem.gov.cn/gk/zfxxgkpt/fdzdgknr/202111/W020211101559536877178.docx" \t "https://www.china-safety.org.cn/Article/_blank" </w:instrText>
      </w:r>
      <w:r>
        <w:rPr>
          <w:rFonts w:hint="eastAsia" w:ascii="仿宋" w:hAnsi="仿宋" w:eastAsia="仿宋" w:cs="仿宋"/>
          <w:i w:val="0"/>
          <w:iCs w:val="0"/>
          <w:caps w:val="0"/>
          <w:color w:val="auto"/>
          <w:spacing w:val="0"/>
          <w:sz w:val="32"/>
          <w:szCs w:val="32"/>
          <w:highlight w:val="none"/>
          <w:u w:val="none"/>
          <w:shd w:val="clear" w:color="auto" w:fill="FFFFFF"/>
        </w:rPr>
        <w:fldChar w:fldCharType="separate"/>
      </w:r>
      <w:r>
        <w:rPr>
          <w:rStyle w:val="11"/>
          <w:rFonts w:hint="eastAsia" w:ascii="仿宋" w:hAnsi="仿宋" w:eastAsia="仿宋" w:cs="仿宋"/>
          <w:i w:val="0"/>
          <w:iCs w:val="0"/>
          <w:caps w:val="0"/>
          <w:color w:val="auto"/>
          <w:spacing w:val="0"/>
          <w:sz w:val="32"/>
          <w:szCs w:val="32"/>
          <w:highlight w:val="none"/>
          <w:u w:val="none"/>
          <w:shd w:val="clear" w:color="auto" w:fill="FFFFFF"/>
        </w:rPr>
        <w:t>企业安全生产标准化现场评审报告</w:t>
      </w:r>
      <w:r>
        <w:rPr>
          <w:rFonts w:hint="eastAsia" w:ascii="仿宋" w:hAnsi="仿宋" w:eastAsia="仿宋" w:cs="仿宋"/>
          <w:i w:val="0"/>
          <w:iCs w:val="0"/>
          <w:caps w:val="0"/>
          <w:color w:val="auto"/>
          <w:spacing w:val="0"/>
          <w:sz w:val="32"/>
          <w:szCs w:val="32"/>
          <w:highlight w:val="none"/>
          <w:u w:val="none"/>
          <w:shd w:val="clear" w:color="auto" w:fill="FFFFFF"/>
        </w:rPr>
        <w:fldChar w:fldCharType="end"/>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510" w:lineRule="exact"/>
        <w:ind w:firstLine="1598" w:firstLineChars="519"/>
        <w:jc w:val="both"/>
        <w:textAlignment w:val="auto"/>
        <w:rPr>
          <w:rFonts w:hint="eastAsia" w:ascii="仿宋" w:hAnsi="仿宋" w:eastAsia="仿宋" w:cs="仿宋"/>
          <w:i w:val="0"/>
          <w:iCs w:val="0"/>
          <w:caps w:val="0"/>
          <w:color w:val="auto"/>
          <w:spacing w:val="-6"/>
          <w:sz w:val="32"/>
          <w:szCs w:val="32"/>
          <w:highlight w:val="none"/>
          <w:u w:val="none"/>
          <w:shd w:val="clear" w:color="auto" w:fill="FFFFFF"/>
          <w:lang w:val="en-US" w:eastAsia="zh-CN"/>
        </w:rPr>
      </w:pPr>
      <w:r>
        <w:rPr>
          <w:rFonts w:hint="eastAsia" w:ascii="仿宋" w:hAnsi="仿宋" w:eastAsia="仿宋" w:cs="仿宋"/>
          <w:i w:val="0"/>
          <w:iCs w:val="0"/>
          <w:caps w:val="0"/>
          <w:color w:val="auto"/>
          <w:spacing w:val="-6"/>
          <w:sz w:val="32"/>
          <w:szCs w:val="32"/>
          <w:highlight w:val="none"/>
          <w:u w:val="none"/>
          <w:shd w:val="clear" w:color="auto" w:fill="FFFFFF"/>
          <w:lang w:val="en-US" w:eastAsia="zh-CN"/>
        </w:rPr>
        <w:t>4</w:t>
      </w:r>
      <w:r>
        <w:rPr>
          <w:rFonts w:hint="default" w:ascii="仿宋" w:hAnsi="仿宋" w:eastAsia="仿宋" w:cs="仿宋"/>
          <w:i w:val="0"/>
          <w:iCs w:val="0"/>
          <w:caps w:val="0"/>
          <w:color w:val="auto"/>
          <w:spacing w:val="-6"/>
          <w:sz w:val="32"/>
          <w:szCs w:val="32"/>
          <w:highlight w:val="none"/>
          <w:u w:val="none"/>
          <w:shd w:val="clear" w:color="auto" w:fill="FFFFFF"/>
          <w:lang w:val="en" w:eastAsia="zh-CN"/>
        </w:rPr>
        <w:t>.</w:t>
      </w:r>
      <w:r>
        <w:rPr>
          <w:rFonts w:hint="eastAsia" w:ascii="仿宋" w:hAnsi="仿宋" w:eastAsia="仿宋" w:cs="仿宋"/>
          <w:i w:val="0"/>
          <w:iCs w:val="0"/>
          <w:caps w:val="0"/>
          <w:color w:val="auto"/>
          <w:spacing w:val="-6"/>
          <w:sz w:val="32"/>
          <w:szCs w:val="32"/>
          <w:highlight w:val="none"/>
          <w:u w:val="none"/>
          <w:shd w:val="clear" w:color="auto" w:fill="FFFFFF"/>
        </w:rPr>
        <w:fldChar w:fldCharType="begin"/>
      </w:r>
      <w:r>
        <w:rPr>
          <w:rFonts w:hint="eastAsia" w:ascii="仿宋" w:hAnsi="仿宋" w:eastAsia="仿宋" w:cs="仿宋"/>
          <w:i w:val="0"/>
          <w:iCs w:val="0"/>
          <w:caps w:val="0"/>
          <w:color w:val="auto"/>
          <w:spacing w:val="-6"/>
          <w:sz w:val="32"/>
          <w:szCs w:val="32"/>
          <w:highlight w:val="none"/>
          <w:u w:val="none"/>
          <w:shd w:val="clear" w:color="auto" w:fill="FFFFFF"/>
        </w:rPr>
        <w:instrText xml:space="preserve"> HYPERLINK "https://www.mem.gov.cn/gk/zfxxgkpt/fdzdgknr/202111/W020211101559536877178.docx" \t "https://www.china-safety.org.cn/Article/_blank" </w:instrText>
      </w:r>
      <w:r>
        <w:rPr>
          <w:rFonts w:hint="eastAsia" w:ascii="仿宋" w:hAnsi="仿宋" w:eastAsia="仿宋" w:cs="仿宋"/>
          <w:i w:val="0"/>
          <w:iCs w:val="0"/>
          <w:caps w:val="0"/>
          <w:color w:val="auto"/>
          <w:spacing w:val="-6"/>
          <w:sz w:val="32"/>
          <w:szCs w:val="32"/>
          <w:highlight w:val="none"/>
          <w:u w:val="none"/>
          <w:shd w:val="clear" w:color="auto" w:fill="FFFFFF"/>
        </w:rPr>
        <w:fldChar w:fldCharType="separate"/>
      </w:r>
      <w:r>
        <w:rPr>
          <w:rStyle w:val="11"/>
          <w:rFonts w:hint="eastAsia" w:ascii="仿宋" w:hAnsi="仿宋" w:eastAsia="仿宋" w:cs="仿宋"/>
          <w:i w:val="0"/>
          <w:iCs w:val="0"/>
          <w:caps w:val="0"/>
          <w:color w:val="auto"/>
          <w:spacing w:val="-6"/>
          <w:sz w:val="32"/>
          <w:szCs w:val="32"/>
          <w:highlight w:val="none"/>
          <w:u w:val="none"/>
          <w:shd w:val="clear" w:color="auto" w:fill="FFFFFF"/>
        </w:rPr>
        <w:t>企业安全生产标准化现场评审报告</w:t>
      </w:r>
      <w:r>
        <w:rPr>
          <w:rFonts w:hint="eastAsia" w:ascii="仿宋" w:hAnsi="仿宋" w:eastAsia="仿宋" w:cs="仿宋"/>
          <w:i w:val="0"/>
          <w:iCs w:val="0"/>
          <w:caps w:val="0"/>
          <w:color w:val="auto"/>
          <w:spacing w:val="-6"/>
          <w:sz w:val="32"/>
          <w:szCs w:val="32"/>
          <w:highlight w:val="none"/>
          <w:u w:val="none"/>
          <w:shd w:val="clear" w:color="auto" w:fill="FFFFFF"/>
        </w:rPr>
        <w:fldChar w:fldCharType="end"/>
      </w:r>
      <w:r>
        <w:rPr>
          <w:rFonts w:hint="eastAsia" w:ascii="仿宋" w:hAnsi="仿宋" w:eastAsia="仿宋" w:cs="仿宋"/>
          <w:i w:val="0"/>
          <w:iCs w:val="0"/>
          <w:caps w:val="0"/>
          <w:color w:val="auto"/>
          <w:spacing w:val="-6"/>
          <w:sz w:val="32"/>
          <w:szCs w:val="32"/>
          <w:highlight w:val="none"/>
          <w:u w:val="none"/>
          <w:shd w:val="clear" w:color="auto" w:fill="FFFFFF"/>
          <w:lang w:val="en-US" w:eastAsia="zh-CN"/>
        </w:rPr>
        <w:t>审查意见书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rPr>
          <w:rFonts w:hint="eastAsia" w:ascii="黑体" w:hAnsi="黑体" w:eastAsia="黑体" w:cs="黑体"/>
          <w:b w:val="0"/>
          <w:bCs w:val="0"/>
          <w:i w:val="0"/>
          <w:iCs w:val="0"/>
          <w:caps w:val="0"/>
          <w:color w:val="auto"/>
          <w:spacing w:val="-6"/>
          <w:sz w:val="32"/>
          <w:szCs w:val="32"/>
          <w:highlight w:val="none"/>
          <w:u w:val="none"/>
          <w:shd w:val="clear" w:color="auto" w:fill="FFFFFF"/>
          <w:lang w:val="en-US" w:eastAsia="zh-CN"/>
        </w:rPr>
        <w:sectPr>
          <w:footerReference r:id="rId3" w:type="default"/>
          <w:pgSz w:w="11906" w:h="16838"/>
          <w:pgMar w:top="1984" w:right="1531" w:bottom="1984" w:left="1531" w:header="851" w:footer="1361" w:gutter="0"/>
          <w:pgNumType w:fmt="decimal"/>
          <w:cols w:space="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rPr>
          <w:rFonts w:hint="eastAsia" w:ascii="黑体" w:hAnsi="黑体" w:eastAsia="黑体" w:cs="黑体"/>
          <w:b w:val="0"/>
          <w:bCs w:val="0"/>
          <w:i w:val="0"/>
          <w:iCs w:val="0"/>
          <w:caps w:val="0"/>
          <w:color w:val="auto"/>
          <w:spacing w:val="-6"/>
          <w:sz w:val="32"/>
          <w:szCs w:val="32"/>
          <w:highlight w:val="none"/>
          <w:u w:val="none"/>
          <w:shd w:val="clear" w:color="auto" w:fill="FFFFFF"/>
          <w:lang w:val="en-US" w:eastAsia="zh-CN"/>
        </w:rPr>
      </w:pPr>
      <w:r>
        <w:rPr>
          <w:rFonts w:hint="eastAsia" w:ascii="黑体" w:hAnsi="黑体" w:eastAsia="黑体" w:cs="黑体"/>
          <w:b w:val="0"/>
          <w:bCs w:val="0"/>
          <w:i w:val="0"/>
          <w:iCs w:val="0"/>
          <w:caps w:val="0"/>
          <w:color w:val="auto"/>
          <w:spacing w:val="-6"/>
          <w:sz w:val="32"/>
          <w:szCs w:val="32"/>
          <w:highlight w:val="none"/>
          <w:u w:val="none"/>
          <w:shd w:val="clear" w:color="auto" w:fill="FFFFFF"/>
          <w:lang w:val="en-US" w:eastAsia="zh-CN"/>
        </w:rPr>
        <w:t>附件1</w:t>
      </w:r>
    </w:p>
    <w:p>
      <w:pPr>
        <w:pStyle w:val="2"/>
        <w:keepNext w:val="0"/>
        <w:keepLines w:val="0"/>
        <w:pageBreakBefore w:val="0"/>
        <w:kinsoku/>
        <w:overflowPunct/>
        <w:topLinePunct w:val="0"/>
        <w:autoSpaceDE/>
        <w:autoSpaceDN/>
        <w:bidi w:val="0"/>
        <w:spacing w:after="0" w:line="580" w:lineRule="exact"/>
        <w:textAlignment w:val="auto"/>
        <w:rPr>
          <w:color w:val="auto"/>
          <w:highlight w:val="none"/>
        </w:rPr>
      </w:pPr>
    </w:p>
    <w:p>
      <w:pPr>
        <w:keepNext w:val="0"/>
        <w:keepLines w:val="0"/>
        <w:pageBreakBefore w:val="0"/>
        <w:kinsoku/>
        <w:overflowPunct/>
        <w:topLinePunct w:val="0"/>
        <w:autoSpaceDE/>
        <w:autoSpaceDN/>
        <w:bidi w:val="0"/>
        <w:adjustRightInd w:val="0"/>
        <w:snapToGrid w:val="0"/>
        <w:spacing w:line="580" w:lineRule="exact"/>
        <w:jc w:val="center"/>
        <w:textAlignment w:val="auto"/>
        <w:rPr>
          <w:rFonts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240" w:lineRule="auto"/>
        <w:jc w:val="center"/>
        <w:textAlignment w:val="auto"/>
        <w:rPr>
          <w:rFonts w:ascii="方正小标宋_GBK" w:eastAsia="方正小标宋_GBK"/>
          <w:snapToGrid w:val="0"/>
          <w:color w:val="auto"/>
          <w:kern w:val="0"/>
          <w:sz w:val="52"/>
          <w:szCs w:val="52"/>
          <w:highlight w:val="none"/>
        </w:rPr>
      </w:pPr>
      <w:r>
        <w:rPr>
          <w:rFonts w:hint="eastAsia" w:ascii="方正小标宋_GBK" w:eastAsia="方正小标宋_GBK"/>
          <w:snapToGrid w:val="0"/>
          <w:color w:val="auto"/>
          <w:spacing w:val="100"/>
          <w:kern w:val="0"/>
          <w:sz w:val="52"/>
          <w:szCs w:val="52"/>
          <w:highlight w:val="none"/>
        </w:rPr>
        <w:t>企业安全生产标准</w:t>
      </w:r>
      <w:r>
        <w:rPr>
          <w:rFonts w:hint="eastAsia" w:ascii="方正小标宋_GBK" w:eastAsia="方正小标宋_GBK"/>
          <w:snapToGrid w:val="0"/>
          <w:color w:val="auto"/>
          <w:kern w:val="0"/>
          <w:sz w:val="52"/>
          <w:szCs w:val="52"/>
          <w:highlight w:val="none"/>
        </w:rPr>
        <w:t>化</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ascii="方正小标宋_GBK" w:eastAsia="方正小标宋_GBK"/>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240" w:lineRule="auto"/>
        <w:jc w:val="center"/>
        <w:textAlignment w:val="auto"/>
        <w:rPr>
          <w:rFonts w:ascii="方正小标宋_GBK" w:hAnsi="宋体" w:eastAsia="方正小标宋_GBK"/>
          <w:snapToGrid w:val="0"/>
          <w:color w:val="auto"/>
          <w:kern w:val="0"/>
          <w:sz w:val="72"/>
          <w:szCs w:val="72"/>
          <w:highlight w:val="none"/>
        </w:rPr>
      </w:pPr>
      <w:r>
        <w:rPr>
          <w:rFonts w:hint="eastAsia" w:ascii="方正小标宋_GBK" w:hAnsi="宋体" w:eastAsia="方正小标宋_GBK"/>
          <w:snapToGrid w:val="0"/>
          <w:color w:val="auto"/>
          <w:spacing w:val="340"/>
          <w:kern w:val="0"/>
          <w:sz w:val="72"/>
          <w:szCs w:val="72"/>
          <w:highlight w:val="none"/>
        </w:rPr>
        <w:t xml:space="preserve"> 自评报告</w:t>
      </w:r>
    </w:p>
    <w:p>
      <w:pPr>
        <w:keepNext w:val="0"/>
        <w:keepLines w:val="0"/>
        <w:pageBreakBefore w:val="0"/>
        <w:kinsoku/>
        <w:overflowPunct/>
        <w:topLinePunct w:val="0"/>
        <w:autoSpaceDE/>
        <w:autoSpaceDN/>
        <w:bidi w:val="0"/>
        <w:adjustRightInd w:val="0"/>
        <w:snapToGrid w:val="0"/>
        <w:spacing w:line="580" w:lineRule="exact"/>
        <w:jc w:val="center"/>
        <w:textAlignment w:val="auto"/>
        <w:rPr>
          <w:rFonts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jc w:val="center"/>
        <w:textAlignment w:val="auto"/>
        <w:rPr>
          <w:rFonts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jc w:val="center"/>
        <w:textAlignment w:val="auto"/>
        <w:rPr>
          <w:rFonts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jc w:val="center"/>
        <w:textAlignment w:val="auto"/>
        <w:rPr>
          <w:rFonts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jc w:val="both"/>
        <w:textAlignment w:val="auto"/>
        <w:rPr>
          <w:rFonts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jc w:val="center"/>
        <w:textAlignment w:val="auto"/>
        <w:rPr>
          <w:rFonts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jc w:val="center"/>
        <w:textAlignment w:val="auto"/>
        <w:rPr>
          <w:rFonts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ascii="仿宋_GB2312"/>
          <w:snapToGrid w:val="0"/>
          <w:color w:val="auto"/>
          <w:kern w:val="0"/>
          <w:sz w:val="32"/>
          <w:szCs w:val="32"/>
          <w:highlight w:val="none"/>
          <w:u w:val="single"/>
        </w:rPr>
      </w:pPr>
      <w:r>
        <w:rPr>
          <w:rFonts w:hint="eastAsia" w:ascii="仿宋_GB2312"/>
          <w:snapToGrid w:val="0"/>
          <w:color w:val="auto"/>
          <w:kern w:val="0"/>
          <w:sz w:val="32"/>
          <w:szCs w:val="32"/>
          <w:highlight w:val="none"/>
        </w:rPr>
        <w:t>企业名称（盖章）</w:t>
      </w:r>
      <w:r>
        <w:rPr>
          <w:rFonts w:hint="eastAsia" w:ascii="仿宋_GB2312"/>
          <w:snapToGrid w:val="0"/>
          <w:color w:val="auto"/>
          <w:kern w:val="0"/>
          <w:sz w:val="32"/>
          <w:szCs w:val="32"/>
          <w:highlight w:val="none"/>
          <w:u w:val="single"/>
        </w:rPr>
        <w:t xml:space="preserve">                      </w:t>
      </w: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ascii="仿宋_GB2312"/>
          <w:snapToGrid w:val="0"/>
          <w:color w:val="auto"/>
          <w:kern w:val="0"/>
          <w:sz w:val="32"/>
          <w:szCs w:val="32"/>
          <w:highlight w:val="none"/>
        </w:rPr>
      </w:pPr>
      <w:r>
        <w:rPr>
          <w:rFonts w:hint="eastAsia" w:ascii="仿宋_GB2312"/>
          <w:snapToGrid w:val="0"/>
          <w:color w:val="auto"/>
          <w:kern w:val="0"/>
          <w:sz w:val="32"/>
          <w:szCs w:val="32"/>
          <w:highlight w:val="none"/>
        </w:rPr>
        <w:t>行    业</w:t>
      </w:r>
      <w:r>
        <w:rPr>
          <w:rFonts w:hint="eastAsia" w:ascii="仿宋_GB2312"/>
          <w:snapToGrid w:val="0"/>
          <w:color w:val="auto"/>
          <w:kern w:val="0"/>
          <w:sz w:val="32"/>
          <w:szCs w:val="32"/>
          <w:highlight w:val="none"/>
          <w:u w:val="single"/>
        </w:rPr>
        <w:t xml:space="preserve">    </w:t>
      </w:r>
      <w:r>
        <w:rPr>
          <w:rFonts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u w:val="single"/>
        </w:rPr>
        <w:t xml:space="preserve">    </w:t>
      </w:r>
      <w:r>
        <w:rPr>
          <w:rFonts w:ascii="仿宋_GB2312"/>
          <w:snapToGrid w:val="0"/>
          <w:color w:val="auto"/>
          <w:kern w:val="0"/>
          <w:sz w:val="32"/>
          <w:szCs w:val="32"/>
          <w:highlight w:val="none"/>
        </w:rPr>
        <w:t>专</w:t>
      </w:r>
      <w:r>
        <w:rPr>
          <w:rFonts w:hint="eastAsia" w:ascii="仿宋_GB2312"/>
          <w:snapToGrid w:val="0"/>
          <w:color w:val="auto"/>
          <w:kern w:val="0"/>
          <w:sz w:val="32"/>
          <w:szCs w:val="32"/>
          <w:highlight w:val="none"/>
        </w:rPr>
        <w:t xml:space="preserve">    </w:t>
      </w:r>
      <w:r>
        <w:rPr>
          <w:rFonts w:ascii="仿宋_GB2312"/>
          <w:snapToGrid w:val="0"/>
          <w:color w:val="auto"/>
          <w:kern w:val="0"/>
          <w:sz w:val="32"/>
          <w:szCs w:val="32"/>
          <w:highlight w:val="none"/>
        </w:rPr>
        <w:t>业</w:t>
      </w:r>
      <w:r>
        <w:rPr>
          <w:rFonts w:hint="eastAsia" w:ascii="仿宋_GB2312"/>
          <w:snapToGrid w:val="0"/>
          <w:color w:val="auto"/>
          <w:kern w:val="0"/>
          <w:sz w:val="32"/>
          <w:szCs w:val="32"/>
          <w:highlight w:val="none"/>
          <w:u w:val="single"/>
        </w:rPr>
        <w:t xml:space="preserve">          </w:t>
      </w: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ascii="仿宋_GB2312"/>
          <w:snapToGrid w:val="0"/>
          <w:color w:val="auto"/>
          <w:kern w:val="0"/>
          <w:sz w:val="32"/>
          <w:szCs w:val="32"/>
          <w:highlight w:val="none"/>
          <w:u w:val="single"/>
        </w:rPr>
      </w:pPr>
      <w:r>
        <w:rPr>
          <w:rFonts w:hint="eastAsia" w:ascii="仿宋_GB2312"/>
          <w:snapToGrid w:val="0"/>
          <w:color w:val="auto"/>
          <w:kern w:val="0"/>
          <w:sz w:val="32"/>
          <w:szCs w:val="32"/>
          <w:highlight w:val="none"/>
        </w:rPr>
        <w:t>自评得分</w:t>
      </w:r>
      <w:r>
        <w:rPr>
          <w:rFonts w:hint="eastAsia"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rPr>
        <w:t>自评等级</w:t>
      </w:r>
      <w:r>
        <w:rPr>
          <w:rFonts w:hint="eastAsia" w:ascii="仿宋_GB2312"/>
          <w:snapToGrid w:val="0"/>
          <w:color w:val="auto"/>
          <w:kern w:val="0"/>
          <w:sz w:val="32"/>
          <w:szCs w:val="32"/>
          <w:highlight w:val="none"/>
          <w:u w:val="single"/>
        </w:rPr>
        <w:t xml:space="preserve">          </w:t>
      </w: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ascii="仿宋_GB2312"/>
          <w:snapToGrid w:val="0"/>
          <w:color w:val="auto"/>
          <w:kern w:val="0"/>
          <w:sz w:val="32"/>
          <w:szCs w:val="32"/>
          <w:highlight w:val="none"/>
          <w:u w:val="single"/>
        </w:rPr>
      </w:pPr>
      <w:r>
        <w:rPr>
          <w:rFonts w:hint="eastAsia" w:ascii="仿宋_GB2312"/>
          <w:snapToGrid w:val="0"/>
          <w:color w:val="auto"/>
          <w:kern w:val="0"/>
          <w:sz w:val="32"/>
          <w:szCs w:val="32"/>
          <w:highlight w:val="none"/>
        </w:rPr>
        <w:t>自评日期</w:t>
      </w:r>
      <w:r>
        <w:rPr>
          <w:rFonts w:hint="eastAsia"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rPr>
        <w:t>年</w:t>
      </w:r>
      <w:r>
        <w:rPr>
          <w:rFonts w:hint="eastAsia" w:ascii="仿宋_GB2312"/>
          <w:snapToGrid w:val="0"/>
          <w:color w:val="auto"/>
          <w:kern w:val="0"/>
          <w:sz w:val="32"/>
          <w:szCs w:val="32"/>
          <w:highlight w:val="none"/>
          <w:u w:val="single"/>
        </w:rPr>
        <w:t xml:space="preserve">  </w:t>
      </w:r>
      <w:r>
        <w:rPr>
          <w:rFonts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rPr>
        <w:t>月</w:t>
      </w:r>
      <w:r>
        <w:rPr>
          <w:rFonts w:hint="eastAsia" w:ascii="仿宋_GB2312"/>
          <w:snapToGrid w:val="0"/>
          <w:color w:val="auto"/>
          <w:kern w:val="0"/>
          <w:sz w:val="32"/>
          <w:szCs w:val="32"/>
          <w:highlight w:val="none"/>
          <w:u w:val="single"/>
        </w:rPr>
        <w:t xml:space="preserve">  </w:t>
      </w:r>
      <w:r>
        <w:rPr>
          <w:rFonts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rPr>
        <w:t>日</w:t>
      </w: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ascii="仿宋_GB2312"/>
          <w:snapToGrid w:val="0"/>
          <w:color w:val="auto"/>
          <w:kern w:val="0"/>
          <w:sz w:val="32"/>
          <w:szCs w:val="32"/>
          <w:highlight w:val="none"/>
        </w:rPr>
      </w:pPr>
      <w:r>
        <w:rPr>
          <w:rFonts w:hint="eastAsia" w:ascii="仿宋_GB2312"/>
          <w:snapToGrid w:val="0"/>
          <w:color w:val="auto"/>
          <w:kern w:val="0"/>
          <w:sz w:val="32"/>
          <w:szCs w:val="32"/>
          <w:highlight w:val="none"/>
        </w:rPr>
        <w:t>是否在企业内部公示    □是    □否</w:t>
      </w: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ascii="仿宋_GB2312"/>
          <w:snapToGrid w:val="0"/>
          <w:color w:val="auto"/>
          <w:kern w:val="0"/>
          <w:sz w:val="32"/>
          <w:szCs w:val="32"/>
          <w:highlight w:val="none"/>
        </w:rPr>
      </w:pPr>
      <w:r>
        <w:rPr>
          <w:rFonts w:hint="eastAsia" w:ascii="仿宋_GB2312"/>
          <w:snapToGrid w:val="0"/>
          <w:color w:val="auto"/>
          <w:kern w:val="0"/>
          <w:sz w:val="32"/>
          <w:szCs w:val="32"/>
          <w:highlight w:val="none"/>
        </w:rPr>
        <w:t>是否</w:t>
      </w:r>
      <w:r>
        <w:rPr>
          <w:rFonts w:ascii="仿宋_GB2312"/>
          <w:snapToGrid w:val="0"/>
          <w:color w:val="auto"/>
          <w:kern w:val="0"/>
          <w:sz w:val="32"/>
          <w:szCs w:val="32"/>
          <w:highlight w:val="none"/>
        </w:rPr>
        <w:t xml:space="preserve">申请定级     </w:t>
      </w:r>
      <w:r>
        <w:rPr>
          <w:rFonts w:hint="eastAsia" w:ascii="仿宋_GB2312"/>
          <w:snapToGrid w:val="0"/>
          <w:color w:val="auto"/>
          <w:kern w:val="0"/>
          <w:sz w:val="32"/>
          <w:szCs w:val="32"/>
          <w:highlight w:val="none"/>
        </w:rPr>
        <w:t xml:space="preserve">    </w:t>
      </w:r>
      <w:r>
        <w:rPr>
          <w:rFonts w:ascii="仿宋_GB2312"/>
          <w:snapToGrid w:val="0"/>
          <w:color w:val="auto"/>
          <w:kern w:val="0"/>
          <w:sz w:val="32"/>
          <w:szCs w:val="32"/>
          <w:highlight w:val="none"/>
        </w:rPr>
        <w:t xml:space="preserve"> </w:t>
      </w:r>
      <w:r>
        <w:rPr>
          <w:rFonts w:hint="eastAsia" w:ascii="仿宋_GB2312"/>
          <w:snapToGrid w:val="0"/>
          <w:color w:val="auto"/>
          <w:kern w:val="0"/>
          <w:sz w:val="32"/>
          <w:szCs w:val="32"/>
          <w:highlight w:val="none"/>
        </w:rPr>
        <w:t>□是    □否</w:t>
      </w: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hint="eastAsia" w:ascii="仿宋_GB2312"/>
          <w:snapToGrid w:val="0"/>
          <w:color w:val="auto"/>
          <w:kern w:val="0"/>
          <w:sz w:val="32"/>
          <w:szCs w:val="32"/>
          <w:highlight w:val="none"/>
        </w:rPr>
      </w:pPr>
      <w:r>
        <w:rPr>
          <w:rFonts w:hint="eastAsia" w:ascii="仿宋_GB2312"/>
          <w:snapToGrid w:val="0"/>
          <w:color w:val="auto"/>
          <w:kern w:val="0"/>
          <w:sz w:val="32"/>
          <w:szCs w:val="32"/>
          <w:highlight w:val="none"/>
        </w:rPr>
        <w:t xml:space="preserve">申请等级 </w:t>
      </w:r>
      <w:r>
        <w:rPr>
          <w:rFonts w:ascii="仿宋_GB2312"/>
          <w:snapToGrid w:val="0"/>
          <w:color w:val="auto"/>
          <w:kern w:val="0"/>
          <w:sz w:val="32"/>
          <w:szCs w:val="32"/>
          <w:highlight w:val="none"/>
        </w:rPr>
        <w:t xml:space="preserve">     </w:t>
      </w:r>
      <w:r>
        <w:rPr>
          <w:rFonts w:hint="eastAsia" w:ascii="仿宋_GB2312"/>
          <w:snapToGrid w:val="0"/>
          <w:color w:val="auto"/>
          <w:kern w:val="0"/>
          <w:sz w:val="32"/>
          <w:szCs w:val="32"/>
          <w:highlight w:val="none"/>
        </w:rPr>
        <w:t xml:space="preserve">□一级   □二级  </w:t>
      </w:r>
      <w:r>
        <w:rPr>
          <w:rFonts w:ascii="仿宋_GB2312"/>
          <w:snapToGrid w:val="0"/>
          <w:color w:val="auto"/>
          <w:kern w:val="0"/>
          <w:sz w:val="32"/>
          <w:szCs w:val="32"/>
          <w:highlight w:val="none"/>
        </w:rPr>
        <w:t xml:space="preserve"> </w:t>
      </w:r>
      <w:r>
        <w:rPr>
          <w:rFonts w:hint="eastAsia" w:ascii="仿宋_GB2312"/>
          <w:snapToGrid w:val="0"/>
          <w:color w:val="auto"/>
          <w:kern w:val="0"/>
          <w:sz w:val="32"/>
          <w:szCs w:val="32"/>
          <w:highlight w:val="none"/>
        </w:rPr>
        <w:t>□三级</w:t>
      </w:r>
    </w:p>
    <w:p>
      <w:pPr>
        <w:pStyle w:val="2"/>
      </w:pPr>
    </w:p>
    <w:tbl>
      <w:tblPr>
        <w:tblStyle w:val="8"/>
        <w:tblpPr w:leftFromText="180" w:rightFromText="180" w:vertAnchor="text" w:horzAnchor="page" w:tblpX="1405" w:tblpY="311"/>
        <w:tblOverlap w:val="never"/>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587"/>
        <w:gridCol w:w="201"/>
        <w:gridCol w:w="1202"/>
        <w:gridCol w:w="282"/>
        <w:gridCol w:w="1311"/>
        <w:gridCol w:w="1714"/>
        <w:gridCol w:w="1428"/>
        <w:gridCol w:w="158"/>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8"/>
                <w:szCs w:val="28"/>
                <w:highlight w:val="none"/>
              </w:rPr>
            </w:pPr>
            <w:r>
              <w:rPr>
                <w:rFonts w:hint="eastAsia" w:ascii="黑体" w:hAnsi="黑体" w:eastAsia="黑体" w:cs="黑体"/>
                <w:bCs/>
                <w:snapToGrid w:val="0"/>
                <w:color w:val="auto"/>
                <w:kern w:val="0"/>
                <w:sz w:val="28"/>
                <w:szCs w:val="28"/>
                <w:highlight w:val="none"/>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企业名称</w:t>
            </w:r>
          </w:p>
        </w:tc>
        <w:tc>
          <w:tcPr>
            <w:tcW w:w="7782"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住    所</w:t>
            </w:r>
          </w:p>
        </w:tc>
        <w:tc>
          <w:tcPr>
            <w:tcW w:w="7782"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类    型</w:t>
            </w:r>
          </w:p>
        </w:tc>
        <w:tc>
          <w:tcPr>
            <w:tcW w:w="7782"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53" w:leftChars="-25" w:right="-53" w:rightChars="-25"/>
              <w:jc w:val="center"/>
              <w:textAlignment w:val="auto"/>
              <w:rPr>
                <w:rFonts w:ascii="仿宋_GB2312"/>
                <w:snapToGrid w:val="0"/>
                <w:color w:val="auto"/>
                <w:kern w:val="0"/>
                <w:sz w:val="24"/>
                <w:highlight w:val="none"/>
              </w:rPr>
            </w:pPr>
            <w:r>
              <w:rPr>
                <w:rFonts w:hint="eastAsia" w:ascii="仿宋_GB2312"/>
                <w:snapToGrid w:val="0"/>
                <w:color w:val="auto"/>
                <w:spacing w:val="-32"/>
                <w:kern w:val="0"/>
                <w:sz w:val="24"/>
                <w:highlight w:val="none"/>
              </w:rPr>
              <w:t>安全管理机</w:t>
            </w:r>
            <w:r>
              <w:rPr>
                <w:rFonts w:hint="eastAsia" w:ascii="仿宋_GB2312"/>
                <w:snapToGrid w:val="0"/>
                <w:color w:val="auto"/>
                <w:kern w:val="0"/>
                <w:sz w:val="24"/>
                <w:highlight w:val="none"/>
              </w:rPr>
              <w:t>构</w:t>
            </w:r>
          </w:p>
        </w:tc>
        <w:tc>
          <w:tcPr>
            <w:tcW w:w="7782"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spacing w:val="-32"/>
                <w:kern w:val="0"/>
                <w:sz w:val="24"/>
                <w:highlight w:val="none"/>
              </w:rPr>
              <w:t>法定代表</w:t>
            </w:r>
            <w:r>
              <w:rPr>
                <w:rFonts w:hint="eastAsia" w:ascii="仿宋_GB2312"/>
                <w:snapToGrid w:val="0"/>
                <w:color w:val="auto"/>
                <w:kern w:val="0"/>
                <w:sz w:val="24"/>
                <w:highlight w:val="none"/>
              </w:rPr>
              <w:t>人</w:t>
            </w:r>
          </w:p>
        </w:tc>
        <w:tc>
          <w:tcPr>
            <w:tcW w:w="168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3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电  话</w:t>
            </w:r>
          </w:p>
        </w:tc>
        <w:tc>
          <w:tcPr>
            <w:tcW w:w="17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4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传    真</w:t>
            </w:r>
          </w:p>
        </w:tc>
        <w:tc>
          <w:tcPr>
            <w:tcW w:w="164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4"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联 系 人</w:t>
            </w:r>
          </w:p>
        </w:tc>
        <w:tc>
          <w:tcPr>
            <w:tcW w:w="1685" w:type="dxa"/>
            <w:gridSpan w:val="3"/>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3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电  话</w:t>
            </w:r>
          </w:p>
        </w:tc>
        <w:tc>
          <w:tcPr>
            <w:tcW w:w="17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4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传    真</w:t>
            </w:r>
          </w:p>
        </w:tc>
        <w:tc>
          <w:tcPr>
            <w:tcW w:w="164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685" w:type="dxa"/>
            <w:gridSpan w:val="3"/>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3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手  机</w:t>
            </w:r>
          </w:p>
        </w:tc>
        <w:tc>
          <w:tcPr>
            <w:tcW w:w="17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4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电子信箱</w:t>
            </w:r>
          </w:p>
        </w:tc>
        <w:tc>
          <w:tcPr>
            <w:tcW w:w="164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spacing w:val="-16"/>
                <w:kern w:val="0"/>
                <w:sz w:val="24"/>
                <w:highlight w:val="none"/>
              </w:rPr>
            </w:pPr>
            <w:r>
              <w:rPr>
                <w:rFonts w:hint="eastAsia" w:ascii="仿宋_GB2312"/>
                <w:snapToGrid w:val="0"/>
                <w:color w:val="auto"/>
                <w:spacing w:val="-16"/>
                <w:kern w:val="0"/>
                <w:sz w:val="24"/>
                <w:highlight w:val="none"/>
              </w:rPr>
              <w:t>本次自评前本企业（专业）曾经取得的标准化等级：□一级</w:t>
            </w:r>
            <w:r>
              <w:rPr>
                <w:rFonts w:ascii="仿宋_GB2312"/>
                <w:snapToGrid w:val="0"/>
                <w:color w:val="auto"/>
                <w:spacing w:val="-16"/>
                <w:kern w:val="0"/>
                <w:sz w:val="24"/>
                <w:highlight w:val="none"/>
              </w:rPr>
              <w:t xml:space="preserve">  </w:t>
            </w:r>
            <w:r>
              <w:rPr>
                <w:rFonts w:hint="eastAsia" w:ascii="仿宋_GB2312"/>
                <w:snapToGrid w:val="0"/>
                <w:color w:val="auto"/>
                <w:spacing w:val="-16"/>
                <w:kern w:val="0"/>
                <w:sz w:val="24"/>
                <w:highlight w:val="none"/>
              </w:rPr>
              <w:t xml:space="preserve"> □二级 </w:t>
            </w:r>
            <w:r>
              <w:rPr>
                <w:rFonts w:ascii="仿宋_GB2312"/>
                <w:snapToGrid w:val="0"/>
                <w:color w:val="auto"/>
                <w:spacing w:val="-16"/>
                <w:kern w:val="0"/>
                <w:sz w:val="24"/>
                <w:highlight w:val="none"/>
              </w:rPr>
              <w:t xml:space="preserve">  </w:t>
            </w:r>
            <w:r>
              <w:rPr>
                <w:rFonts w:hint="eastAsia" w:ascii="仿宋_GB2312"/>
                <w:snapToGrid w:val="0"/>
                <w:color w:val="auto"/>
                <w:spacing w:val="-16"/>
                <w:kern w:val="0"/>
                <w:sz w:val="24"/>
                <w:highlight w:val="none"/>
                <w:lang w:eastAsia="zh-CN"/>
              </w:rPr>
              <w:t>□</w:t>
            </w:r>
            <w:r>
              <w:rPr>
                <w:rFonts w:hint="eastAsia" w:ascii="仿宋_GB2312"/>
                <w:snapToGrid w:val="0"/>
                <w:color w:val="auto"/>
                <w:spacing w:val="-16"/>
                <w:kern w:val="0"/>
                <w:sz w:val="24"/>
                <w:highlight w:val="none"/>
              </w:rPr>
              <w:t xml:space="preserve">三级 </w:t>
            </w:r>
            <w:r>
              <w:rPr>
                <w:rFonts w:ascii="仿宋_GB2312"/>
                <w:snapToGrid w:val="0"/>
                <w:color w:val="auto"/>
                <w:spacing w:val="-16"/>
                <w:kern w:val="0"/>
                <w:sz w:val="24"/>
                <w:highlight w:val="none"/>
              </w:rPr>
              <w:t xml:space="preserve">  </w:t>
            </w:r>
            <w:r>
              <w:rPr>
                <w:rFonts w:hint="eastAsia" w:ascii="仿宋_GB2312"/>
                <w:snapToGrid w:val="0"/>
                <w:color w:val="auto"/>
                <w:spacing w:val="-16"/>
                <w:kern w:val="0"/>
                <w:sz w:val="24"/>
                <w:highlight w:val="none"/>
                <w:lang w:eastAsia="zh-CN"/>
              </w:rPr>
              <w:t>□</w:t>
            </w:r>
            <w:r>
              <w:rPr>
                <w:rFonts w:hint="eastAsia" w:ascii="仿宋_GB2312"/>
                <w:snapToGrid w:val="0"/>
                <w:color w:val="auto"/>
                <w:spacing w:val="-16"/>
                <w:kern w:val="0"/>
                <w:sz w:val="24"/>
                <w:highlight w:val="none"/>
              </w:rPr>
              <w:t xml:space="preserve">小微企业 </w:t>
            </w:r>
            <w:r>
              <w:rPr>
                <w:rFonts w:ascii="仿宋_GB2312"/>
                <w:snapToGrid w:val="0"/>
                <w:color w:val="auto"/>
                <w:spacing w:val="-16"/>
                <w:kern w:val="0"/>
                <w:sz w:val="24"/>
                <w:highlight w:val="none"/>
              </w:rPr>
              <w:t xml:space="preserve">  </w:t>
            </w:r>
            <w:r>
              <w:rPr>
                <w:rFonts w:hint="eastAsia" w:ascii="仿宋_GB2312"/>
                <w:snapToGrid w:val="0"/>
                <w:color w:val="auto"/>
                <w:spacing w:val="-16"/>
                <w:kern w:val="0"/>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286"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r>
              <w:rPr>
                <w:rFonts w:hint="eastAsia" w:ascii="仿宋_GB2312"/>
                <w:snapToGrid w:val="0"/>
                <w:color w:val="auto"/>
                <w:kern w:val="0"/>
                <w:sz w:val="24"/>
                <w:highlight w:val="none"/>
              </w:rPr>
              <w:t>如果是某企业集团的成员单位，请注明企业集团名称：</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企业安全生产标准化工作组主要成员</w:t>
            </w:r>
          </w:p>
        </w:tc>
        <w:tc>
          <w:tcPr>
            <w:tcW w:w="78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姓  名</w:t>
            </w:r>
          </w:p>
        </w:tc>
        <w:tc>
          <w:tcPr>
            <w:tcW w:w="330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所在部门及职务/职称</w:t>
            </w:r>
          </w:p>
        </w:tc>
        <w:tc>
          <w:tcPr>
            <w:tcW w:w="158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电  话</w:t>
            </w:r>
          </w:p>
        </w:tc>
        <w:tc>
          <w:tcPr>
            <w:tcW w:w="14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78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组长</w:t>
            </w:r>
          </w:p>
        </w:tc>
        <w:tc>
          <w:tcPr>
            <w:tcW w:w="12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330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158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14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788"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成员</w:t>
            </w:r>
          </w:p>
        </w:tc>
        <w:tc>
          <w:tcPr>
            <w:tcW w:w="12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330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158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14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788" w:type="dxa"/>
            <w:gridSpan w:val="2"/>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330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158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14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788" w:type="dxa"/>
            <w:gridSpan w:val="2"/>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330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158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14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788" w:type="dxa"/>
            <w:gridSpan w:val="2"/>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330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158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14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286"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8"/>
                <w:szCs w:val="28"/>
                <w:highlight w:val="none"/>
              </w:rPr>
            </w:pPr>
            <w:r>
              <w:rPr>
                <w:rFonts w:hint="eastAsia" w:ascii="黑体" w:hAnsi="黑体" w:eastAsia="黑体" w:cs="黑体"/>
                <w:bCs/>
                <w:snapToGrid w:val="0"/>
                <w:color w:val="auto"/>
                <w:kern w:val="0"/>
                <w:sz w:val="28"/>
                <w:szCs w:val="28"/>
                <w:highlight w:val="none"/>
              </w:rPr>
              <w:t>自评总结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9286"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r>
              <w:rPr>
                <w:rFonts w:hint="eastAsia" w:ascii="仿宋_GB2312"/>
                <w:snapToGrid w:val="0"/>
                <w:color w:val="auto"/>
                <w:kern w:val="0"/>
                <w:sz w:val="24"/>
                <w:highlight w:val="none"/>
              </w:rPr>
              <w:t xml:space="preserve">    1.企业概况。</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r>
              <w:rPr>
                <w:rFonts w:hint="eastAsia" w:ascii="仿宋_GB2312"/>
                <w:snapToGrid w:val="0"/>
                <w:color w:val="auto"/>
                <w:kern w:val="0"/>
                <w:sz w:val="24"/>
                <w:highlight w:val="none"/>
              </w:rPr>
              <w:t xml:space="preserve">    2.企业生产安全事故情况（本自评年度内）。</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r>
              <w:rPr>
                <w:rFonts w:hint="eastAsia" w:ascii="仿宋_GB2312"/>
                <w:snapToGrid w:val="0"/>
                <w:color w:val="auto"/>
                <w:kern w:val="0"/>
                <w:sz w:val="24"/>
                <w:highlight w:val="none"/>
              </w:rPr>
              <w:t xml:space="preserve">    3.企业安全生产标准化工作取得成效。</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r>
              <w:rPr>
                <w:rFonts w:hint="eastAsia" w:ascii="仿宋_GB2312"/>
                <w:snapToGrid w:val="0"/>
                <w:color w:val="auto"/>
                <w:kern w:val="0"/>
                <w:sz w:val="24"/>
                <w:highlight w:val="none"/>
              </w:rPr>
              <w:t xml:space="preserve">    4</w:t>
            </w:r>
            <w:r>
              <w:rPr>
                <w:rFonts w:ascii="仿宋_GB2312"/>
                <w:snapToGrid w:val="0"/>
                <w:color w:val="auto"/>
                <w:kern w:val="0"/>
                <w:sz w:val="24"/>
                <w:highlight w:val="none"/>
              </w:rPr>
              <w:t>.</w:t>
            </w:r>
            <w:r>
              <w:rPr>
                <w:rFonts w:hint="eastAsia" w:ascii="仿宋_GB2312"/>
                <w:snapToGrid w:val="0"/>
                <w:color w:val="auto"/>
                <w:kern w:val="0"/>
                <w:sz w:val="24"/>
                <w:highlight w:val="none"/>
              </w:rPr>
              <w:t>自评打分表（得分情况、扣分项目）及整改完成情况。</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b/>
                <w:snapToGrid w:val="0"/>
                <w:color w:val="auto"/>
                <w:kern w:val="0"/>
                <w:sz w:val="32"/>
                <w:szCs w:val="32"/>
                <w:highlight w:val="none"/>
              </w:rPr>
            </w:pPr>
            <w:r>
              <w:rPr>
                <w:rFonts w:hint="eastAsia" w:ascii="仿宋_GB2312"/>
                <w:snapToGrid w:val="0"/>
                <w:color w:val="auto"/>
                <w:kern w:val="0"/>
                <w:sz w:val="24"/>
                <w:highlight w:val="none"/>
              </w:rPr>
              <w:t xml:space="preserve">    5.企业主要负责人承诺书（申请定级的企业提交）。</w:t>
            </w:r>
          </w:p>
        </w:tc>
      </w:tr>
    </w:tbl>
    <w:p>
      <w:pPr>
        <w:keepNext w:val="0"/>
        <w:keepLines w:val="0"/>
        <w:pageBreakBefore w:val="0"/>
        <w:kinsoku/>
        <w:overflowPunct/>
        <w:topLinePunct w:val="0"/>
        <w:autoSpaceDE/>
        <w:autoSpaceDN/>
        <w:bidi w:val="0"/>
        <w:adjustRightInd w:val="0"/>
        <w:snapToGrid w:val="0"/>
        <w:spacing w:line="580" w:lineRule="exact"/>
        <w:jc w:val="center"/>
        <w:textAlignment w:val="auto"/>
        <w:rPr>
          <w:rFonts w:hint="eastAsia" w:ascii="方正小标宋_GBK" w:hAnsi="方正小标宋_GBK" w:eastAsia="方正小标宋_GBK" w:cs="方正小标宋_GBK"/>
          <w:bCs/>
          <w:snapToGrid w:val="0"/>
          <w:color w:val="auto"/>
          <w:kern w:val="0"/>
          <w:sz w:val="44"/>
          <w:szCs w:val="44"/>
          <w:highlight w:val="none"/>
        </w:rPr>
      </w:pPr>
    </w:p>
    <w:p>
      <w:pPr>
        <w:keepNext w:val="0"/>
        <w:keepLines w:val="0"/>
        <w:pageBreakBefore w:val="0"/>
        <w:kinsoku/>
        <w:overflowPunct/>
        <w:topLinePunct w:val="0"/>
        <w:autoSpaceDE/>
        <w:autoSpaceDN/>
        <w:bidi w:val="0"/>
        <w:adjustRightInd w:val="0"/>
        <w:snapToGrid w:val="0"/>
        <w:spacing w:line="580" w:lineRule="exact"/>
        <w:jc w:val="center"/>
        <w:textAlignment w:val="auto"/>
        <w:rPr>
          <w:rFonts w:ascii="方正小标宋_GBK" w:hAnsi="方正小标宋_GBK" w:eastAsia="方正小标宋_GBK" w:cs="方正小标宋_GBK"/>
          <w:bCs/>
          <w:snapToGrid w:val="0"/>
          <w:color w:val="auto"/>
          <w:kern w:val="0"/>
          <w:sz w:val="44"/>
          <w:szCs w:val="44"/>
          <w:highlight w:val="none"/>
        </w:rPr>
      </w:pPr>
      <w:r>
        <w:rPr>
          <w:rFonts w:hint="eastAsia" w:ascii="方正小标宋_GBK" w:hAnsi="方正小标宋_GBK" w:eastAsia="方正小标宋_GBK" w:cs="方正小标宋_GBK"/>
          <w:bCs/>
          <w:snapToGrid w:val="0"/>
          <w:color w:val="auto"/>
          <w:kern w:val="0"/>
          <w:sz w:val="44"/>
          <w:szCs w:val="44"/>
          <w:highlight w:val="none"/>
        </w:rPr>
        <w:t>自评报告填写说明</w:t>
      </w:r>
    </w:p>
    <w:p>
      <w:pPr>
        <w:keepNext w:val="0"/>
        <w:keepLines w:val="0"/>
        <w:pageBreakBefore w:val="0"/>
        <w:kinsoku/>
        <w:overflowPunct/>
        <w:topLinePunct w:val="0"/>
        <w:autoSpaceDE/>
        <w:autoSpaceDN/>
        <w:bidi w:val="0"/>
        <w:spacing w:line="580" w:lineRule="exact"/>
        <w:ind w:firstLine="640" w:firstLineChars="200"/>
        <w:textAlignment w:val="auto"/>
        <w:rPr>
          <w:rFonts w:ascii="仿宋_GB2312" w:cs="宋体"/>
          <w:color w:val="auto"/>
          <w:kern w:val="0"/>
          <w:sz w:val="32"/>
          <w:szCs w:val="32"/>
          <w:highlight w:val="none"/>
        </w:rPr>
      </w:pPr>
    </w:p>
    <w:p>
      <w:pPr>
        <w:keepNext w:val="0"/>
        <w:keepLines w:val="0"/>
        <w:pageBreakBefore w:val="0"/>
        <w:kinsoku/>
        <w:overflowPunct/>
        <w:topLinePunct w:val="0"/>
        <w:autoSpaceDE/>
        <w:autoSpaceDN/>
        <w:bidi w:val="0"/>
        <w:spacing w:line="580" w:lineRule="exact"/>
        <w:ind w:firstLine="640" w:firstLineChars="200"/>
        <w:textAlignment w:val="auto"/>
        <w:rPr>
          <w:rFonts w:ascii="仿宋_GB2312" w:cs="宋体"/>
          <w:color w:val="auto"/>
          <w:kern w:val="0"/>
          <w:sz w:val="32"/>
          <w:szCs w:val="32"/>
          <w:highlight w:val="none"/>
        </w:rPr>
      </w:pPr>
      <w:r>
        <w:rPr>
          <w:rFonts w:hint="eastAsia" w:ascii="仿宋_GB2312" w:cs="宋体"/>
          <w:color w:val="auto"/>
          <w:kern w:val="0"/>
          <w:sz w:val="32"/>
          <w:szCs w:val="32"/>
          <w:highlight w:val="none"/>
        </w:rPr>
        <w:t>1.企业名称、住所、类型按营业执照上登记的填写。</w:t>
      </w:r>
    </w:p>
    <w:p>
      <w:pPr>
        <w:keepNext w:val="0"/>
        <w:keepLines w:val="0"/>
        <w:pageBreakBefore w:val="0"/>
        <w:kinsoku/>
        <w:overflowPunct/>
        <w:topLinePunct w:val="0"/>
        <w:autoSpaceDE/>
        <w:autoSpaceDN/>
        <w:bidi w:val="0"/>
        <w:spacing w:line="580" w:lineRule="exact"/>
        <w:ind w:firstLine="640" w:firstLineChars="200"/>
        <w:textAlignment w:val="auto"/>
        <w:rPr>
          <w:rFonts w:ascii="仿宋_GB2312" w:cs="宋体"/>
          <w:color w:val="auto"/>
          <w:kern w:val="0"/>
          <w:sz w:val="32"/>
          <w:szCs w:val="32"/>
          <w:highlight w:val="none"/>
        </w:rPr>
      </w:pPr>
      <w:r>
        <w:rPr>
          <w:rFonts w:hint="eastAsia" w:ascii="仿宋_GB2312" w:cs="宋体"/>
          <w:color w:val="auto"/>
          <w:kern w:val="0"/>
          <w:sz w:val="32"/>
          <w:szCs w:val="32"/>
          <w:highlight w:val="none"/>
        </w:rPr>
        <w:t>2.所属行业：主要包括</w:t>
      </w:r>
      <w:r>
        <w:rPr>
          <w:rFonts w:ascii="仿宋_GB2312" w:cs="宋体"/>
          <w:color w:val="auto"/>
          <w:kern w:val="0"/>
          <w:sz w:val="32"/>
          <w:szCs w:val="32"/>
          <w:highlight w:val="none"/>
        </w:rPr>
        <w:t>化工</w:t>
      </w:r>
      <w:r>
        <w:rPr>
          <w:rFonts w:hint="eastAsia" w:ascii="仿宋_GB2312" w:cs="宋体"/>
          <w:color w:val="auto"/>
          <w:kern w:val="0"/>
          <w:sz w:val="32"/>
          <w:szCs w:val="32"/>
          <w:highlight w:val="none"/>
        </w:rPr>
        <w:t>（含石油化工）、医药、危险化学品、烟花爆竹、石油开采、冶金、有色、建材、机械、轻工、纺织、烟草、商贸等。</w:t>
      </w:r>
    </w:p>
    <w:p>
      <w:pPr>
        <w:keepNext w:val="0"/>
        <w:keepLines w:val="0"/>
        <w:pageBreakBefore w:val="0"/>
        <w:kinsoku/>
        <w:overflowPunct/>
        <w:topLinePunct w:val="0"/>
        <w:autoSpaceDE/>
        <w:autoSpaceDN/>
        <w:bidi w:val="0"/>
        <w:spacing w:line="580" w:lineRule="exact"/>
        <w:ind w:firstLine="640" w:firstLineChars="200"/>
        <w:textAlignment w:val="auto"/>
        <w:rPr>
          <w:rFonts w:ascii="仿宋_GB2312" w:cs="宋体"/>
          <w:color w:val="auto"/>
          <w:kern w:val="0"/>
          <w:sz w:val="32"/>
          <w:szCs w:val="32"/>
          <w:highlight w:val="none"/>
        </w:rPr>
      </w:pPr>
      <w:r>
        <w:rPr>
          <w:rFonts w:hint="eastAsia" w:ascii="仿宋_GB2312" w:cs="宋体"/>
          <w:color w:val="auto"/>
          <w:kern w:val="0"/>
          <w:sz w:val="32"/>
          <w:szCs w:val="32"/>
          <w:highlight w:val="none"/>
        </w:rPr>
        <w:t>3.专业：按所属行业中的划分填写，如冶金行业中的炼钢、轧钢专业，有色行业中的电解铝、氧化铝专业，建材行业中的水泥专业等。</w:t>
      </w:r>
    </w:p>
    <w:p>
      <w:pPr>
        <w:keepNext w:val="0"/>
        <w:keepLines w:val="0"/>
        <w:pageBreakBefore w:val="0"/>
        <w:kinsoku/>
        <w:overflowPunct/>
        <w:topLinePunct w:val="0"/>
        <w:autoSpaceDE/>
        <w:autoSpaceDN/>
        <w:bidi w:val="0"/>
        <w:spacing w:line="580" w:lineRule="exact"/>
        <w:ind w:firstLine="640" w:firstLineChars="200"/>
        <w:textAlignment w:val="auto"/>
        <w:rPr>
          <w:rFonts w:ascii="仿宋_GB2312" w:cs="宋体"/>
          <w:color w:val="auto"/>
          <w:kern w:val="0"/>
          <w:sz w:val="32"/>
          <w:szCs w:val="32"/>
          <w:highlight w:val="none"/>
        </w:rPr>
      </w:pPr>
      <w:r>
        <w:rPr>
          <w:rFonts w:hint="eastAsia" w:ascii="仿宋_GB2312" w:cs="宋体"/>
          <w:color w:val="auto"/>
          <w:kern w:val="0"/>
          <w:sz w:val="32"/>
          <w:szCs w:val="32"/>
          <w:highlight w:val="none"/>
        </w:rPr>
        <w:t>4.企业概况：主要包括经营范围</w:t>
      </w:r>
      <w:r>
        <w:rPr>
          <w:rFonts w:ascii="仿宋_GB2312" w:cs="宋体"/>
          <w:color w:val="auto"/>
          <w:kern w:val="0"/>
          <w:sz w:val="32"/>
          <w:szCs w:val="32"/>
          <w:highlight w:val="none"/>
        </w:rPr>
        <w:t>、</w:t>
      </w:r>
      <w:r>
        <w:rPr>
          <w:rFonts w:hint="eastAsia" w:ascii="仿宋_GB2312" w:cs="宋体"/>
          <w:color w:val="auto"/>
          <w:kern w:val="0"/>
          <w:sz w:val="32"/>
          <w:szCs w:val="32"/>
          <w:highlight w:val="none"/>
        </w:rPr>
        <w:t>主营业务</w:t>
      </w:r>
      <w:r>
        <w:rPr>
          <w:rFonts w:ascii="仿宋_GB2312" w:cs="宋体"/>
          <w:color w:val="auto"/>
          <w:kern w:val="0"/>
          <w:sz w:val="32"/>
          <w:szCs w:val="32"/>
          <w:highlight w:val="none"/>
        </w:rPr>
        <w:t>、</w:t>
      </w:r>
      <w:r>
        <w:rPr>
          <w:rFonts w:hint="eastAsia" w:ascii="仿宋_GB2312" w:cs="宋体"/>
          <w:color w:val="auto"/>
          <w:kern w:val="0"/>
          <w:sz w:val="32"/>
          <w:szCs w:val="32"/>
          <w:highlight w:val="none"/>
        </w:rPr>
        <w:t>企业规模（</w:t>
      </w:r>
      <w:r>
        <w:rPr>
          <w:rFonts w:ascii="仿宋_GB2312" w:cs="宋体"/>
          <w:color w:val="auto"/>
          <w:kern w:val="0"/>
          <w:sz w:val="32"/>
          <w:szCs w:val="32"/>
          <w:highlight w:val="none"/>
        </w:rPr>
        <w:t>含</w:t>
      </w:r>
      <w:r>
        <w:rPr>
          <w:rFonts w:hint="eastAsia" w:ascii="仿宋_GB2312" w:cs="宋体"/>
          <w:color w:val="auto"/>
          <w:kern w:val="0"/>
          <w:sz w:val="32"/>
          <w:szCs w:val="32"/>
          <w:highlight w:val="none"/>
        </w:rPr>
        <w:t>职工人数）</w:t>
      </w:r>
      <w:r>
        <w:rPr>
          <w:rFonts w:ascii="仿宋_GB2312" w:cs="宋体"/>
          <w:color w:val="auto"/>
          <w:kern w:val="0"/>
          <w:sz w:val="32"/>
          <w:szCs w:val="32"/>
          <w:highlight w:val="none"/>
        </w:rPr>
        <w:t>、</w:t>
      </w:r>
      <w:r>
        <w:rPr>
          <w:rFonts w:hint="eastAsia" w:ascii="仿宋_GB2312" w:cs="宋体"/>
          <w:color w:val="auto"/>
          <w:kern w:val="0"/>
          <w:sz w:val="32"/>
          <w:szCs w:val="32"/>
          <w:highlight w:val="none"/>
        </w:rPr>
        <w:t>机构设置</w:t>
      </w:r>
      <w:r>
        <w:rPr>
          <w:rFonts w:ascii="仿宋_GB2312" w:cs="宋体"/>
          <w:color w:val="auto"/>
          <w:kern w:val="0"/>
          <w:sz w:val="32"/>
          <w:szCs w:val="32"/>
          <w:highlight w:val="none"/>
        </w:rPr>
        <w:t>、</w:t>
      </w:r>
      <w:r>
        <w:rPr>
          <w:rFonts w:hint="eastAsia" w:ascii="仿宋_GB2312" w:cs="宋体"/>
          <w:color w:val="auto"/>
          <w:kern w:val="0"/>
          <w:sz w:val="32"/>
          <w:szCs w:val="32"/>
          <w:highlight w:val="none"/>
        </w:rPr>
        <w:t>在行业中所处地位</w:t>
      </w:r>
      <w:r>
        <w:rPr>
          <w:rFonts w:ascii="仿宋_GB2312" w:cs="宋体"/>
          <w:color w:val="auto"/>
          <w:kern w:val="0"/>
          <w:sz w:val="32"/>
          <w:szCs w:val="32"/>
          <w:highlight w:val="none"/>
        </w:rPr>
        <w:t>、</w:t>
      </w:r>
      <w:r>
        <w:rPr>
          <w:rFonts w:hint="eastAsia" w:ascii="仿宋_GB2312" w:cs="宋体"/>
          <w:color w:val="auto"/>
          <w:kern w:val="0"/>
          <w:sz w:val="32"/>
          <w:szCs w:val="32"/>
          <w:highlight w:val="none"/>
        </w:rPr>
        <w:t xml:space="preserve">安全生产工作特点等。 </w:t>
      </w:r>
    </w:p>
    <w:p>
      <w:pPr>
        <w:keepNext w:val="0"/>
        <w:keepLines w:val="0"/>
        <w:pageBreakBefore w:val="0"/>
        <w:kinsoku/>
        <w:overflowPunct/>
        <w:topLinePunct w:val="0"/>
        <w:autoSpaceDE/>
        <w:autoSpaceDN/>
        <w:bidi w:val="0"/>
        <w:spacing w:line="580" w:lineRule="exact"/>
        <w:ind w:firstLine="640" w:firstLineChars="200"/>
        <w:textAlignment w:val="auto"/>
        <w:rPr>
          <w:rFonts w:ascii="仿宋_GB2312" w:cs="宋体"/>
          <w:color w:val="auto"/>
          <w:kern w:val="0"/>
          <w:sz w:val="32"/>
          <w:szCs w:val="32"/>
          <w:highlight w:val="none"/>
        </w:rPr>
      </w:pPr>
      <w:r>
        <w:rPr>
          <w:rFonts w:hint="eastAsia" w:ascii="仿宋_GB2312" w:cs="宋体"/>
          <w:color w:val="auto"/>
          <w:kern w:val="0"/>
          <w:sz w:val="32"/>
          <w:szCs w:val="32"/>
          <w:highlight w:val="none"/>
        </w:rPr>
        <w:t>5.</w:t>
      </w:r>
      <w:r>
        <w:rPr>
          <w:rFonts w:ascii="仿宋_GB2312" w:cs="宋体"/>
          <w:color w:val="auto"/>
          <w:kern w:val="0"/>
          <w:sz w:val="32"/>
          <w:szCs w:val="32"/>
          <w:highlight w:val="none"/>
        </w:rPr>
        <w:t>企业</w:t>
      </w:r>
      <w:r>
        <w:rPr>
          <w:rFonts w:hint="eastAsia" w:ascii="仿宋_GB2312" w:cs="宋体"/>
          <w:color w:val="auto"/>
          <w:kern w:val="0"/>
          <w:sz w:val="32"/>
          <w:szCs w:val="32"/>
          <w:highlight w:val="none"/>
        </w:rPr>
        <w:t>生产安全事故情况：包括事故起数、伤亡人数、财产损失等，申请一级企业定级还需提供损失工作日、千人死亡率、千人重伤率、伤害频率、伤害严重率等数据。</w:t>
      </w:r>
    </w:p>
    <w:p>
      <w:pPr>
        <w:keepNext w:val="0"/>
        <w:keepLines w:val="0"/>
        <w:pageBreakBefore w:val="0"/>
        <w:kinsoku/>
        <w:overflowPunct/>
        <w:topLinePunct w:val="0"/>
        <w:autoSpaceDE/>
        <w:autoSpaceDN/>
        <w:bidi w:val="0"/>
        <w:spacing w:line="580" w:lineRule="exact"/>
        <w:ind w:firstLine="640" w:firstLineChars="200"/>
        <w:textAlignment w:val="auto"/>
        <w:rPr>
          <w:rFonts w:ascii="仿宋_GB2312" w:cs="宋体"/>
          <w:color w:val="auto"/>
          <w:kern w:val="0"/>
          <w:sz w:val="32"/>
          <w:szCs w:val="32"/>
          <w:highlight w:val="none"/>
        </w:rPr>
      </w:pPr>
      <w:r>
        <w:rPr>
          <w:rFonts w:hint="eastAsia" w:ascii="仿宋_GB2312" w:cs="宋体"/>
          <w:color w:val="auto"/>
          <w:kern w:val="0"/>
          <w:sz w:val="32"/>
          <w:szCs w:val="32"/>
          <w:highlight w:val="none"/>
        </w:rPr>
        <w:t>6.自评打分表（得分情况、扣分项目）及整改完成情况需另附表。</w:t>
      </w:r>
    </w:p>
    <w:p>
      <w:pPr>
        <w:keepNext w:val="0"/>
        <w:keepLines w:val="0"/>
        <w:pageBreakBefore w:val="0"/>
        <w:kinsoku/>
        <w:overflowPunct/>
        <w:topLinePunct w:val="0"/>
        <w:autoSpaceDE/>
        <w:autoSpaceDN/>
        <w:bidi w:val="0"/>
        <w:spacing w:line="580" w:lineRule="exact"/>
        <w:ind w:firstLine="640" w:firstLineChars="200"/>
        <w:textAlignment w:val="auto"/>
        <w:rPr>
          <w:rFonts w:ascii="仿宋_GB2312"/>
          <w:color w:val="auto"/>
          <w:sz w:val="30"/>
          <w:szCs w:val="30"/>
          <w:highlight w:val="none"/>
        </w:rPr>
      </w:pPr>
      <w:r>
        <w:rPr>
          <w:rFonts w:hint="eastAsia" w:ascii="仿宋_GB2312" w:cs="宋体"/>
          <w:color w:val="auto"/>
          <w:kern w:val="0"/>
          <w:sz w:val="32"/>
          <w:szCs w:val="32"/>
          <w:highlight w:val="none"/>
        </w:rPr>
        <w:t>7.企业主要负责人承诺书内容应当符合</w:t>
      </w:r>
      <w:r>
        <w:rPr>
          <w:rFonts w:hint="eastAsia" w:ascii="仿宋_GB2312" w:cs="宋体"/>
          <w:color w:val="auto"/>
          <w:kern w:val="0"/>
          <w:sz w:val="32"/>
          <w:szCs w:val="32"/>
          <w:highlight w:val="none"/>
          <w:lang w:eastAsia="zh-CN"/>
        </w:rPr>
        <w:t>本</w:t>
      </w:r>
      <w:r>
        <w:rPr>
          <w:rFonts w:hint="eastAsia" w:ascii="仿宋_GB2312" w:cs="宋体"/>
          <w:color w:val="auto"/>
          <w:kern w:val="0"/>
          <w:sz w:val="32"/>
          <w:szCs w:val="32"/>
          <w:highlight w:val="none"/>
        </w:rPr>
        <w:t>定级</w:t>
      </w:r>
      <w:r>
        <w:rPr>
          <w:rFonts w:hint="eastAsia" w:ascii="仿宋_GB2312" w:cs="宋体"/>
          <w:color w:val="auto"/>
          <w:kern w:val="0"/>
          <w:sz w:val="32"/>
          <w:szCs w:val="32"/>
          <w:highlight w:val="none"/>
          <w:lang w:eastAsia="zh-CN"/>
        </w:rPr>
        <w:t>管理</w:t>
      </w:r>
      <w:r>
        <w:rPr>
          <w:rFonts w:hint="eastAsia" w:ascii="仿宋_GB2312" w:cs="宋体"/>
          <w:color w:val="auto"/>
          <w:kern w:val="0"/>
          <w:sz w:val="32"/>
          <w:szCs w:val="32"/>
          <w:highlight w:val="none"/>
        </w:rPr>
        <w:t>办法第</w:t>
      </w:r>
      <w:r>
        <w:rPr>
          <w:rFonts w:hint="eastAsia" w:ascii="仿宋_GB2312" w:cs="宋体"/>
          <w:color w:val="auto"/>
          <w:kern w:val="0"/>
          <w:sz w:val="32"/>
          <w:szCs w:val="32"/>
          <w:highlight w:val="none"/>
          <w:lang w:eastAsia="zh-CN"/>
        </w:rPr>
        <w:t>十三</w:t>
      </w:r>
      <w:r>
        <w:rPr>
          <w:rFonts w:hint="eastAsia" w:ascii="仿宋_GB2312" w:cs="宋体"/>
          <w:color w:val="auto"/>
          <w:kern w:val="0"/>
          <w:sz w:val="32"/>
          <w:szCs w:val="32"/>
          <w:highlight w:val="none"/>
        </w:rPr>
        <w:t>条要求。</w:t>
      </w:r>
    </w:p>
    <w:p>
      <w:pPr>
        <w:keepNext w:val="0"/>
        <w:keepLines w:val="0"/>
        <w:pageBreakBefore w:val="0"/>
        <w:kinsoku/>
        <w:overflowPunct/>
        <w:topLinePunct w:val="0"/>
        <w:autoSpaceDE/>
        <w:autoSpaceDN/>
        <w:bidi w:val="0"/>
        <w:spacing w:line="240" w:lineRule="auto"/>
        <w:textAlignment w:val="auto"/>
        <w:rPr>
          <w:color w:val="auto"/>
          <w:highlight w:val="none"/>
        </w:rPr>
      </w:pPr>
      <w:r>
        <w:rPr>
          <w:color w:val="auto"/>
          <w:highlight w:val="none"/>
        </w:rPr>
        <w:br w:type="page"/>
      </w:r>
    </w:p>
    <w:p>
      <w:pPr>
        <w:pStyle w:val="2"/>
        <w:keepNext w:val="0"/>
        <w:keepLines w:val="0"/>
        <w:pageBreakBefore w:val="0"/>
        <w:kinsoku/>
        <w:overflowPunct/>
        <w:topLinePunct w:val="0"/>
        <w:autoSpaceDE/>
        <w:autoSpaceDN/>
        <w:bidi w:val="0"/>
        <w:spacing w:after="0" w:line="580" w:lineRule="exact"/>
        <w:ind w:left="0" w:leftChars="0" w:firstLine="0" w:firstLineChars="0"/>
        <w:textAlignment w:val="auto"/>
        <w:rPr>
          <w:rStyle w:val="11"/>
          <w:rFonts w:hint="eastAsia" w:ascii="黑体" w:hAnsi="黑体" w:eastAsia="黑体" w:cs="黑体"/>
          <w:i w:val="0"/>
          <w:iCs w:val="0"/>
          <w:caps w:val="0"/>
          <w:color w:val="auto"/>
          <w:spacing w:val="0"/>
          <w:sz w:val="32"/>
          <w:szCs w:val="32"/>
          <w:highlight w:val="none"/>
          <w:u w:val="none"/>
          <w:shd w:val="clear" w:color="auto" w:fill="FFFFFF"/>
          <w:lang w:val="en-US" w:eastAsia="zh-CN"/>
        </w:rPr>
      </w:pPr>
      <w:r>
        <w:rPr>
          <w:rStyle w:val="11"/>
          <w:rFonts w:hint="eastAsia" w:ascii="黑体" w:hAnsi="黑体" w:eastAsia="黑体" w:cs="黑体"/>
          <w:i w:val="0"/>
          <w:iCs w:val="0"/>
          <w:caps w:val="0"/>
          <w:color w:val="auto"/>
          <w:spacing w:val="0"/>
          <w:sz w:val="32"/>
          <w:szCs w:val="32"/>
          <w:highlight w:val="none"/>
          <w:u w:val="none"/>
          <w:shd w:val="clear" w:color="auto" w:fill="FFFFFF"/>
          <w:lang w:val="en-US" w:eastAsia="zh-CN"/>
        </w:rPr>
        <w:t>附件2</w:t>
      </w:r>
    </w:p>
    <w:p>
      <w:pPr>
        <w:pStyle w:val="2"/>
        <w:keepNext w:val="0"/>
        <w:keepLines w:val="0"/>
        <w:pageBreakBefore w:val="0"/>
        <w:kinsoku/>
        <w:overflowPunct/>
        <w:topLinePunct w:val="0"/>
        <w:autoSpaceDE/>
        <w:autoSpaceDN/>
        <w:bidi w:val="0"/>
        <w:spacing w:after="0" w:line="580" w:lineRule="exact"/>
        <w:ind w:left="0" w:leftChars="0" w:firstLine="0" w:firstLineChars="0"/>
        <w:jc w:val="center"/>
        <w:textAlignment w:val="auto"/>
        <w:rPr>
          <w:rStyle w:val="11"/>
          <w:rFonts w:hint="eastAsia" w:ascii="黑体" w:hAnsi="黑体" w:eastAsia="黑体" w:cs="黑体"/>
          <w:i w:val="0"/>
          <w:iCs w:val="0"/>
          <w:caps w:val="0"/>
          <w:color w:val="auto"/>
          <w:spacing w:val="0"/>
          <w:sz w:val="32"/>
          <w:szCs w:val="32"/>
          <w:highlight w:val="none"/>
          <w:u w:val="none"/>
          <w:shd w:val="clear" w:color="auto" w:fill="FFFFFF"/>
          <w:lang w:val="en-US" w:eastAsia="zh-CN"/>
        </w:rPr>
      </w:pPr>
      <w:r>
        <w:rPr>
          <w:rStyle w:val="11"/>
          <w:rFonts w:hint="eastAsia" w:ascii="黑体" w:hAnsi="黑体" w:eastAsia="黑体" w:cs="黑体"/>
          <w:i w:val="0"/>
          <w:iCs w:val="0"/>
          <w:caps w:val="0"/>
          <w:color w:val="auto"/>
          <w:spacing w:val="0"/>
          <w:sz w:val="32"/>
          <w:szCs w:val="32"/>
          <w:highlight w:val="none"/>
          <w:u w:val="none"/>
          <w:shd w:val="clear" w:color="auto" w:fill="FFFFFF"/>
        </w:rPr>
        <w:t>企业安全生产标准化</w:t>
      </w:r>
      <w:r>
        <w:rPr>
          <w:rStyle w:val="11"/>
          <w:rFonts w:hint="eastAsia" w:ascii="黑体" w:hAnsi="黑体" w:eastAsia="黑体" w:cs="黑体"/>
          <w:i w:val="0"/>
          <w:iCs w:val="0"/>
          <w:caps w:val="0"/>
          <w:color w:val="auto"/>
          <w:spacing w:val="0"/>
          <w:sz w:val="32"/>
          <w:szCs w:val="32"/>
          <w:highlight w:val="none"/>
          <w:u w:val="none"/>
          <w:shd w:val="clear" w:color="auto" w:fill="FFFFFF"/>
          <w:lang w:val="en-US" w:eastAsia="zh-CN"/>
        </w:rPr>
        <w:t>自评报告审核意见表</w:t>
      </w:r>
    </w:p>
    <w:tbl>
      <w:tblPr>
        <w:tblStyle w:val="8"/>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3557"/>
        <w:gridCol w:w="20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企业</w:t>
            </w:r>
            <w:r>
              <w:rPr>
                <w:rFonts w:hint="eastAsia" w:ascii="宋体" w:hAnsi="宋体" w:eastAsia="宋体" w:cs="宋体"/>
                <w:b w:val="0"/>
                <w:bCs w:val="0"/>
                <w:color w:val="auto"/>
                <w:sz w:val="24"/>
                <w:szCs w:val="24"/>
                <w:highlight w:val="none"/>
              </w:rPr>
              <w:t>名称</w:t>
            </w:r>
          </w:p>
        </w:tc>
        <w:tc>
          <w:tcPr>
            <w:tcW w:w="3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580" w:lineRule="exact"/>
              <w:jc w:val="center"/>
              <w:textAlignment w:val="auto"/>
              <w:rPr>
                <w:rFonts w:hint="eastAsia" w:ascii="宋体" w:hAnsi="宋体" w:eastAsia="宋体" w:cs="宋体"/>
                <w:b w:val="0"/>
                <w:bCs w:val="0"/>
                <w:color w:val="auto"/>
                <w:sz w:val="24"/>
                <w:szCs w:val="24"/>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联系人及电话</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申请等级</w:t>
            </w:r>
          </w:p>
        </w:tc>
        <w:tc>
          <w:tcPr>
            <w:tcW w:w="3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580" w:lineRule="exact"/>
              <w:jc w:val="center"/>
              <w:textAlignment w:val="auto"/>
              <w:rPr>
                <w:rFonts w:hint="eastAsia" w:ascii="宋体" w:hAnsi="宋体" w:eastAsia="宋体" w:cs="宋体"/>
                <w:b w:val="0"/>
                <w:bCs w:val="0"/>
                <w:color w:val="auto"/>
                <w:sz w:val="24"/>
                <w:szCs w:val="24"/>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申请</w:t>
            </w:r>
            <w:r>
              <w:rPr>
                <w:rFonts w:hint="eastAsia" w:ascii="宋体" w:hAnsi="宋体" w:eastAsia="宋体" w:cs="宋体"/>
                <w:b w:val="0"/>
                <w:bCs w:val="0"/>
                <w:color w:val="auto"/>
                <w:sz w:val="24"/>
                <w:szCs w:val="24"/>
                <w:highlight w:val="none"/>
              </w:rPr>
              <w:t>类型</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初评/复评</w:t>
            </w:r>
            <w:r>
              <w:rPr>
                <w:rFonts w:hint="eastAsia" w:ascii="宋体" w:hAnsi="宋体" w:eastAsia="宋体" w:cs="宋体"/>
                <w:b w:val="0"/>
                <w:bCs w:val="0"/>
                <w:color w:val="auto"/>
                <w:sz w:val="24"/>
                <w:szCs w:val="24"/>
                <w:highlight w:val="none"/>
                <w:lang w:eastAsia="zh-CN"/>
              </w:rPr>
              <w:t>）</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企业地址</w:t>
            </w:r>
          </w:p>
        </w:tc>
        <w:tc>
          <w:tcPr>
            <w:tcW w:w="355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jc w:val="both"/>
              <w:textAlignment w:val="auto"/>
              <w:rPr>
                <w:rFonts w:hint="eastAsia" w:ascii="宋体" w:hAnsi="宋体" w:eastAsia="宋体" w:cs="宋体"/>
                <w:b w:val="0"/>
                <w:bCs w:val="0"/>
                <w:color w:val="auto"/>
                <w:sz w:val="24"/>
                <w:szCs w:val="24"/>
                <w:highlight w:val="none"/>
                <w:lang w:val="en-US" w:eastAsia="zh-CN"/>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联系人及电话</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自评等级（分数）</w:t>
            </w:r>
          </w:p>
        </w:tc>
        <w:tc>
          <w:tcPr>
            <w:tcW w:w="6832"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40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定级组织单位</w:t>
            </w:r>
          </w:p>
        </w:tc>
        <w:tc>
          <w:tcPr>
            <w:tcW w:w="355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jc w:val="center"/>
              <w:textAlignment w:val="auto"/>
              <w:rPr>
                <w:rFonts w:hint="eastAsia" w:ascii="宋体" w:hAnsi="宋体" w:eastAsia="宋体" w:cs="宋体"/>
                <w:b w:val="0"/>
                <w:bCs w:val="0"/>
                <w:color w:val="auto"/>
                <w:sz w:val="24"/>
                <w:szCs w:val="24"/>
                <w:highlight w:val="none"/>
                <w:lang w:val="en-US" w:eastAsia="zh-CN"/>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联系人及电话</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0"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定级组织单位审核</w:t>
            </w:r>
            <w:r>
              <w:rPr>
                <w:rFonts w:hint="eastAsia" w:ascii="宋体" w:hAnsi="宋体" w:eastAsia="宋体" w:cs="宋体"/>
                <w:b w:val="0"/>
                <w:bCs w:val="0"/>
                <w:color w:val="auto"/>
                <w:sz w:val="24"/>
                <w:szCs w:val="24"/>
                <w:highlight w:val="none"/>
              </w:rPr>
              <w:t>意见</w:t>
            </w:r>
          </w:p>
        </w:tc>
        <w:tc>
          <w:tcPr>
            <w:tcW w:w="6832"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jc w:val="both"/>
              <w:textAlignment w:val="auto"/>
              <w:rPr>
                <w:rFonts w:hint="eastAsia" w:ascii="宋体" w:hAnsi="宋体" w:eastAsia="宋体" w:cs="宋体"/>
                <w:b w:val="0"/>
                <w:bCs w:val="0"/>
                <w:color w:val="auto"/>
                <w:highlight w:val="none"/>
                <w:lang w:val="en-US" w:eastAsia="zh-CN"/>
              </w:rPr>
            </w:pPr>
          </w:p>
          <w:p>
            <w:pPr>
              <w:pStyle w:val="2"/>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2"/>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2"/>
              <w:keepNext w:val="0"/>
              <w:keepLines w:val="0"/>
              <w:pageBreakBefore w:val="0"/>
              <w:kinsoku/>
              <w:overflowPunct/>
              <w:topLinePunct w:val="0"/>
              <w:autoSpaceDE/>
              <w:autoSpaceDN/>
              <w:bidi w:val="0"/>
              <w:spacing w:after="0" w:line="58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p>
          <w:p>
            <w:pPr>
              <w:pStyle w:val="2"/>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2"/>
              <w:keepNext w:val="0"/>
              <w:keepLines w:val="0"/>
              <w:pageBreakBefore w:val="0"/>
              <w:kinsoku/>
              <w:overflowPunct/>
              <w:topLinePunct w:val="0"/>
              <w:autoSpaceDE/>
              <w:autoSpaceDN/>
              <w:bidi w:val="0"/>
              <w:spacing w:after="0"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定级组织单位（盖章）：</w:t>
            </w:r>
          </w:p>
          <w:p>
            <w:pPr>
              <w:pStyle w:val="2"/>
              <w:keepNext w:val="0"/>
              <w:keepLines w:val="0"/>
              <w:pageBreakBefore w:val="0"/>
              <w:kinsoku/>
              <w:overflowPunct/>
              <w:topLinePunct w:val="0"/>
              <w:autoSpaceDE/>
              <w:autoSpaceDN/>
              <w:bidi w:val="0"/>
              <w:spacing w:after="0"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0"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定级部门确认</w:t>
            </w:r>
          </w:p>
        </w:tc>
        <w:tc>
          <w:tcPr>
            <w:tcW w:w="6832" w:type="dxa"/>
            <w:gridSpan w:val="3"/>
            <w:tcBorders>
              <w:top w:val="single" w:color="auto" w:sz="4" w:space="0"/>
              <w:left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highlight w:val="none"/>
              </w:rPr>
            </w:pPr>
          </w:p>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highlight w:val="none"/>
              </w:rPr>
            </w:pPr>
          </w:p>
          <w:p>
            <w:pPr>
              <w:pStyle w:val="2"/>
              <w:keepNext w:val="0"/>
              <w:keepLines w:val="0"/>
              <w:pageBreakBefore w:val="0"/>
              <w:kinsoku/>
              <w:overflowPunct/>
              <w:topLinePunct w:val="0"/>
              <w:autoSpaceDE/>
              <w:autoSpaceDN/>
              <w:bidi w:val="0"/>
              <w:spacing w:after="0" w:line="580" w:lineRule="exact"/>
              <w:ind w:left="0" w:leftChars="0" w:firstLine="0" w:firstLineChars="0"/>
              <w:textAlignment w:val="auto"/>
              <w:rPr>
                <w:rFonts w:hint="eastAsia" w:ascii="宋体" w:hAnsi="宋体" w:eastAsia="宋体" w:cs="宋体"/>
                <w:b w:val="0"/>
                <w:bCs w:val="0"/>
                <w:color w:val="auto"/>
                <w:sz w:val="24"/>
                <w:szCs w:val="24"/>
                <w:highlight w:val="none"/>
              </w:rPr>
            </w:pPr>
          </w:p>
          <w:p>
            <w:pPr>
              <w:pStyle w:val="2"/>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rPr>
            </w:pPr>
          </w:p>
          <w:p>
            <w:pPr>
              <w:pStyle w:val="2"/>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rPr>
            </w:pPr>
          </w:p>
          <w:p>
            <w:pPr>
              <w:pStyle w:val="2"/>
              <w:keepNext w:val="0"/>
              <w:keepLines w:val="0"/>
              <w:pageBreakBefore w:val="0"/>
              <w:kinsoku/>
              <w:overflowPunct/>
              <w:topLinePunct w:val="0"/>
              <w:autoSpaceDE/>
              <w:autoSpaceDN/>
              <w:bidi w:val="0"/>
              <w:spacing w:after="0" w:line="580" w:lineRule="exact"/>
              <w:ind w:left="0" w:leftChars="0" w:firstLine="0" w:firstLineChars="0"/>
              <w:textAlignment w:val="auto"/>
              <w:rPr>
                <w:rFonts w:hint="eastAsia" w:ascii="宋体" w:hAnsi="宋体" w:eastAsia="宋体" w:cs="宋体"/>
                <w:b w:val="0"/>
                <w:bCs w:val="0"/>
                <w:color w:val="auto"/>
                <w:sz w:val="24"/>
                <w:szCs w:val="24"/>
                <w:highlight w:val="none"/>
              </w:rPr>
            </w:pPr>
          </w:p>
        </w:tc>
      </w:tr>
    </w:tbl>
    <w:p>
      <w:pPr>
        <w:pStyle w:val="2"/>
        <w:keepNext w:val="0"/>
        <w:keepLines w:val="0"/>
        <w:pageBreakBefore w:val="0"/>
        <w:kinsoku/>
        <w:overflowPunct/>
        <w:topLinePunct w:val="0"/>
        <w:autoSpaceDE/>
        <w:autoSpaceDN/>
        <w:bidi w:val="0"/>
        <w:spacing w:after="0" w:line="580" w:lineRule="exact"/>
        <w:ind w:left="0" w:leftChars="0" w:firstLine="0" w:firstLineChars="0"/>
        <w:jc w:val="both"/>
        <w:textAlignment w:val="auto"/>
        <w:rPr>
          <w:rStyle w:val="11"/>
          <w:rFonts w:hint="eastAsia" w:ascii="黑体" w:hAnsi="黑体" w:eastAsia="黑体" w:cs="黑体"/>
          <w:i w:val="0"/>
          <w:iCs w:val="0"/>
          <w:caps w:val="0"/>
          <w:color w:val="auto"/>
          <w:spacing w:val="0"/>
          <w:sz w:val="32"/>
          <w:szCs w:val="32"/>
          <w:highlight w:val="none"/>
          <w:u w:val="none"/>
          <w:shd w:val="clear" w:color="auto" w:fill="FFFFFF"/>
          <w:lang w:val="en-US" w:eastAsia="zh-CN"/>
        </w:rPr>
      </w:pPr>
      <w:r>
        <w:rPr>
          <w:rStyle w:val="11"/>
          <w:rFonts w:hint="eastAsia" w:ascii="黑体" w:hAnsi="黑体" w:eastAsia="黑体" w:cs="黑体"/>
          <w:i w:val="0"/>
          <w:iCs w:val="0"/>
          <w:caps w:val="0"/>
          <w:color w:val="auto"/>
          <w:spacing w:val="0"/>
          <w:sz w:val="32"/>
          <w:szCs w:val="32"/>
          <w:highlight w:val="none"/>
          <w:u w:val="none"/>
          <w:shd w:val="clear" w:color="auto" w:fill="FFFFFF"/>
          <w:lang w:val="en-US" w:eastAsia="zh-CN"/>
        </w:rPr>
        <w:t>附件3</w:t>
      </w:r>
    </w:p>
    <w:p>
      <w:pPr>
        <w:keepNext w:val="0"/>
        <w:keepLines w:val="0"/>
        <w:pageBreakBefore w:val="0"/>
        <w:kinsoku/>
        <w:overflowPunct/>
        <w:topLinePunct w:val="0"/>
        <w:autoSpaceDE/>
        <w:autoSpaceDN/>
        <w:bidi w:val="0"/>
        <w:adjustRightInd w:val="0"/>
        <w:snapToGrid w:val="0"/>
        <w:spacing w:line="580" w:lineRule="exact"/>
        <w:jc w:val="center"/>
        <w:textAlignment w:val="auto"/>
        <w:rPr>
          <w:rFonts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240" w:lineRule="auto"/>
        <w:jc w:val="center"/>
        <w:textAlignment w:val="auto"/>
        <w:rPr>
          <w:rFonts w:ascii="方正小标宋_GBK" w:hAnsi="方正小标宋_GBK" w:eastAsia="方正小标宋_GBK" w:cs="方正小标宋_GBK"/>
          <w:bCs/>
          <w:snapToGrid w:val="0"/>
          <w:color w:val="auto"/>
          <w:kern w:val="0"/>
          <w:sz w:val="52"/>
          <w:szCs w:val="52"/>
          <w:highlight w:val="none"/>
        </w:rPr>
      </w:pPr>
      <w:r>
        <w:rPr>
          <w:rFonts w:hint="eastAsia" w:ascii="方正小标宋_GBK" w:hAnsi="方正小标宋_GBK" w:eastAsia="方正小标宋_GBK" w:cs="方正小标宋_GBK"/>
          <w:bCs/>
          <w:snapToGrid w:val="0"/>
          <w:color w:val="auto"/>
          <w:spacing w:val="100"/>
          <w:kern w:val="0"/>
          <w:sz w:val="52"/>
          <w:szCs w:val="52"/>
          <w:highlight w:val="none"/>
        </w:rPr>
        <w:t>企业安全生产标准</w:t>
      </w:r>
      <w:r>
        <w:rPr>
          <w:rFonts w:hint="eastAsia" w:ascii="方正小标宋_GBK" w:hAnsi="方正小标宋_GBK" w:eastAsia="方正小标宋_GBK" w:cs="方正小标宋_GBK"/>
          <w:bCs/>
          <w:snapToGrid w:val="0"/>
          <w:color w:val="auto"/>
          <w:kern w:val="0"/>
          <w:sz w:val="52"/>
          <w:szCs w:val="52"/>
          <w:highlight w:val="none"/>
        </w:rPr>
        <w:t>化</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240" w:lineRule="auto"/>
        <w:jc w:val="center"/>
        <w:textAlignment w:val="auto"/>
        <w:rPr>
          <w:rFonts w:ascii="方正小标宋_GBK" w:hAnsi="方正小标宋_GBK" w:eastAsia="方正小标宋_GBK" w:cs="方正小标宋_GBK"/>
          <w:bCs/>
          <w:snapToGrid w:val="0"/>
          <w:color w:val="auto"/>
          <w:kern w:val="0"/>
          <w:sz w:val="72"/>
          <w:szCs w:val="72"/>
          <w:highlight w:val="none"/>
        </w:rPr>
      </w:pPr>
      <w:r>
        <w:rPr>
          <w:rFonts w:hint="eastAsia" w:ascii="方正小标宋_GBK" w:hAnsi="方正小标宋_GBK" w:eastAsia="方正小标宋_GBK" w:cs="方正小标宋_GBK"/>
          <w:bCs/>
          <w:snapToGrid w:val="0"/>
          <w:color w:val="auto"/>
          <w:spacing w:val="340"/>
          <w:kern w:val="0"/>
          <w:sz w:val="72"/>
          <w:szCs w:val="72"/>
          <w:highlight w:val="none"/>
        </w:rPr>
        <w:t>现场评审报</w:t>
      </w:r>
      <w:r>
        <w:rPr>
          <w:rFonts w:hint="eastAsia" w:ascii="方正小标宋_GBK" w:hAnsi="方正小标宋_GBK" w:eastAsia="方正小标宋_GBK" w:cs="方正小标宋_GBK"/>
          <w:bCs/>
          <w:snapToGrid w:val="0"/>
          <w:color w:val="auto"/>
          <w:kern w:val="0"/>
          <w:sz w:val="72"/>
          <w:szCs w:val="72"/>
          <w:highlight w:val="none"/>
        </w:rPr>
        <w:t>告</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jc w:val="center"/>
        <w:textAlignment w:val="auto"/>
        <w:rPr>
          <w:rFonts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jc w:val="center"/>
        <w:textAlignment w:val="auto"/>
        <w:rPr>
          <w:rFonts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jc w:val="center"/>
        <w:textAlignment w:val="auto"/>
        <w:rPr>
          <w:rFonts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jc w:val="center"/>
        <w:textAlignment w:val="auto"/>
        <w:rPr>
          <w:rFonts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jc w:val="both"/>
        <w:textAlignment w:val="auto"/>
        <w:rPr>
          <w:rFonts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jc w:val="center"/>
        <w:textAlignment w:val="auto"/>
        <w:rPr>
          <w:rFonts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jc w:val="center"/>
        <w:textAlignment w:val="auto"/>
        <w:rPr>
          <w:rFonts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jc w:val="center"/>
        <w:textAlignment w:val="auto"/>
        <w:rPr>
          <w:rFonts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jc w:val="center"/>
        <w:textAlignment w:val="auto"/>
        <w:rPr>
          <w:rFonts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jc w:val="center"/>
        <w:textAlignment w:val="auto"/>
        <w:rPr>
          <w:rFonts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ascii="仿宋_GB2312"/>
          <w:snapToGrid w:val="0"/>
          <w:color w:val="auto"/>
          <w:kern w:val="0"/>
          <w:sz w:val="32"/>
          <w:szCs w:val="32"/>
          <w:highlight w:val="none"/>
          <w:u w:val="single"/>
        </w:rPr>
      </w:pPr>
      <w:r>
        <w:rPr>
          <w:rFonts w:hint="eastAsia" w:ascii="仿宋_GB2312"/>
          <w:snapToGrid w:val="0"/>
          <w:color w:val="auto"/>
          <w:kern w:val="0"/>
          <w:sz w:val="32"/>
          <w:szCs w:val="32"/>
          <w:highlight w:val="none"/>
        </w:rPr>
        <w:t>负责现场评审的单位（盖章）</w:t>
      </w:r>
      <w:r>
        <w:rPr>
          <w:rFonts w:hint="eastAsia" w:ascii="仿宋_GB2312"/>
          <w:snapToGrid w:val="0"/>
          <w:color w:val="auto"/>
          <w:kern w:val="0"/>
          <w:sz w:val="32"/>
          <w:szCs w:val="32"/>
          <w:highlight w:val="none"/>
          <w:u w:val="single"/>
        </w:rPr>
        <w:t xml:space="preserve">         </w:t>
      </w:r>
      <w:r>
        <w:rPr>
          <w:rFonts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u w:val="single"/>
        </w:rPr>
        <w:t xml:space="preserve">   </w:t>
      </w: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ascii="仿宋_GB2312"/>
          <w:snapToGrid w:val="0"/>
          <w:color w:val="auto"/>
          <w:kern w:val="0"/>
          <w:sz w:val="32"/>
          <w:szCs w:val="32"/>
          <w:highlight w:val="none"/>
          <w:u w:val="single"/>
        </w:rPr>
      </w:pPr>
      <w:r>
        <w:rPr>
          <w:rFonts w:hint="eastAsia" w:ascii="仿宋_GB2312"/>
          <w:snapToGrid w:val="0"/>
          <w:color w:val="auto"/>
          <w:kern w:val="0"/>
          <w:sz w:val="32"/>
          <w:szCs w:val="32"/>
          <w:highlight w:val="none"/>
        </w:rPr>
        <w:t>申请企业</w:t>
      </w:r>
      <w:r>
        <w:rPr>
          <w:rFonts w:hint="eastAsia" w:ascii="仿宋_GB2312"/>
          <w:snapToGrid w:val="0"/>
          <w:color w:val="auto"/>
          <w:kern w:val="0"/>
          <w:sz w:val="32"/>
          <w:szCs w:val="32"/>
          <w:highlight w:val="none"/>
          <w:u w:val="single"/>
        </w:rPr>
        <w:t xml:space="preserve">                                </w:t>
      </w: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ascii="仿宋_GB2312"/>
          <w:snapToGrid w:val="0"/>
          <w:color w:val="auto"/>
          <w:kern w:val="0"/>
          <w:sz w:val="32"/>
          <w:szCs w:val="32"/>
          <w:highlight w:val="none"/>
        </w:rPr>
      </w:pPr>
      <w:r>
        <w:rPr>
          <w:rFonts w:hint="eastAsia" w:ascii="仿宋_GB2312"/>
          <w:snapToGrid w:val="0"/>
          <w:color w:val="auto"/>
          <w:kern w:val="0"/>
          <w:sz w:val="32"/>
          <w:szCs w:val="32"/>
          <w:highlight w:val="none"/>
        </w:rPr>
        <w:t>行    业</w:t>
      </w:r>
      <w:r>
        <w:rPr>
          <w:rFonts w:hint="eastAsia" w:ascii="仿宋_GB2312"/>
          <w:snapToGrid w:val="0"/>
          <w:color w:val="auto"/>
          <w:kern w:val="0"/>
          <w:sz w:val="32"/>
          <w:szCs w:val="32"/>
          <w:highlight w:val="none"/>
          <w:u w:val="single"/>
        </w:rPr>
        <w:t xml:space="preserve"> </w:t>
      </w:r>
      <w:r>
        <w:rPr>
          <w:rFonts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rPr>
        <w:t>专    业</w:t>
      </w:r>
      <w:r>
        <w:rPr>
          <w:rFonts w:hint="eastAsia" w:ascii="仿宋_GB2312"/>
          <w:snapToGrid w:val="0"/>
          <w:color w:val="auto"/>
          <w:kern w:val="0"/>
          <w:sz w:val="32"/>
          <w:szCs w:val="32"/>
          <w:highlight w:val="none"/>
          <w:u w:val="single"/>
        </w:rPr>
        <w:t xml:space="preserve">            </w:t>
      </w: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ascii="仿宋_GB2312"/>
          <w:snapToGrid w:val="0"/>
          <w:color w:val="auto"/>
          <w:kern w:val="0"/>
          <w:sz w:val="32"/>
          <w:szCs w:val="32"/>
          <w:highlight w:val="none"/>
        </w:rPr>
      </w:pPr>
      <w:r>
        <w:rPr>
          <w:rFonts w:hint="eastAsia" w:ascii="仿宋_GB2312"/>
          <w:snapToGrid w:val="0"/>
          <w:color w:val="auto"/>
          <w:kern w:val="0"/>
          <w:sz w:val="32"/>
          <w:szCs w:val="32"/>
          <w:highlight w:val="none"/>
        </w:rPr>
        <w:t>评审性质</w:t>
      </w:r>
      <w:r>
        <w:rPr>
          <w:rFonts w:hint="eastAsia" w:ascii="仿宋_GB2312"/>
          <w:snapToGrid w:val="0"/>
          <w:color w:val="auto"/>
          <w:kern w:val="0"/>
          <w:sz w:val="32"/>
          <w:szCs w:val="32"/>
          <w:highlight w:val="none"/>
          <w:u w:val="single"/>
        </w:rPr>
        <w:t xml:space="preserve"> 初评/复评  </w:t>
      </w:r>
      <w:r>
        <w:rPr>
          <w:rFonts w:hint="eastAsia" w:ascii="仿宋_GB2312"/>
          <w:snapToGrid w:val="0"/>
          <w:color w:val="auto"/>
          <w:kern w:val="0"/>
          <w:sz w:val="32"/>
          <w:szCs w:val="32"/>
          <w:highlight w:val="none"/>
        </w:rPr>
        <w:t>申请等级</w:t>
      </w:r>
      <w:r>
        <w:rPr>
          <w:rFonts w:hint="eastAsia" w:ascii="仿宋_GB2312"/>
          <w:snapToGrid w:val="0"/>
          <w:color w:val="auto"/>
          <w:kern w:val="0"/>
          <w:sz w:val="32"/>
          <w:szCs w:val="32"/>
          <w:highlight w:val="none"/>
          <w:u w:val="single"/>
        </w:rPr>
        <w:t xml:space="preserve">            </w:t>
      </w: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ascii="仿宋_GB2312"/>
          <w:snapToGrid w:val="0"/>
          <w:color w:val="auto"/>
          <w:kern w:val="0"/>
          <w:sz w:val="32"/>
          <w:szCs w:val="32"/>
          <w:highlight w:val="none"/>
          <w:u w:val="single"/>
        </w:rPr>
      </w:pPr>
      <w:r>
        <w:rPr>
          <w:rFonts w:hint="eastAsia" w:ascii="仿宋_GB2312"/>
          <w:snapToGrid w:val="0"/>
          <w:color w:val="auto"/>
          <w:kern w:val="0"/>
          <w:sz w:val="32"/>
          <w:szCs w:val="32"/>
          <w:highlight w:val="none"/>
        </w:rPr>
        <w:t>评审日期</w:t>
      </w:r>
      <w:r>
        <w:rPr>
          <w:rFonts w:hint="eastAsia"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rPr>
        <w:t>年</w:t>
      </w:r>
      <w:r>
        <w:rPr>
          <w:rFonts w:hint="eastAsia"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rPr>
        <w:t>月</w:t>
      </w:r>
      <w:r>
        <w:rPr>
          <w:rFonts w:hint="eastAsia"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rPr>
        <w:t>日至</w:t>
      </w:r>
      <w:r>
        <w:rPr>
          <w:rFonts w:hint="eastAsia"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rPr>
        <w:t>年</w:t>
      </w:r>
      <w:r>
        <w:rPr>
          <w:rFonts w:hint="eastAsia"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rPr>
        <w:t>月</w:t>
      </w:r>
      <w:r>
        <w:rPr>
          <w:rFonts w:hint="eastAsia"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rPr>
        <w:t>日</w:t>
      </w:r>
    </w:p>
    <w:tbl>
      <w:tblPr>
        <w:tblStyle w:val="8"/>
        <w:tblpPr w:leftFromText="180" w:rightFromText="180" w:vertAnchor="text" w:horzAnchor="page" w:tblpX="1392" w:tblpY="113"/>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6"/>
        <w:gridCol w:w="714"/>
        <w:gridCol w:w="1427"/>
        <w:gridCol w:w="1424"/>
        <w:gridCol w:w="1667"/>
        <w:gridCol w:w="1269"/>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080"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黑体" w:eastAsia="黑体"/>
                <w:snapToGrid w:val="0"/>
                <w:color w:val="auto"/>
                <w:kern w:val="0"/>
                <w:sz w:val="28"/>
                <w:szCs w:val="28"/>
                <w:highlight w:val="none"/>
              </w:rPr>
            </w:pPr>
            <w:r>
              <w:rPr>
                <w:rFonts w:hint="eastAsia" w:ascii="黑体" w:eastAsia="黑体"/>
                <w:snapToGrid w:val="0"/>
                <w:color w:val="auto"/>
                <w:kern w:val="0"/>
                <w:sz w:val="28"/>
                <w:szCs w:val="28"/>
                <w:highlight w:val="none"/>
              </w:rPr>
              <w:t>负责现场评审的单位情况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3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单位名称</w:t>
            </w:r>
          </w:p>
        </w:tc>
        <w:tc>
          <w:tcPr>
            <w:tcW w:w="7650"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143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单位地址</w:t>
            </w:r>
          </w:p>
        </w:tc>
        <w:tc>
          <w:tcPr>
            <w:tcW w:w="7650"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3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spacing w:val="-32"/>
                <w:kern w:val="0"/>
                <w:sz w:val="24"/>
                <w:highlight w:val="none"/>
              </w:rPr>
              <w:t>主要负责</w:t>
            </w:r>
            <w:r>
              <w:rPr>
                <w:rFonts w:hint="eastAsia" w:ascii="仿宋_GB2312"/>
                <w:snapToGrid w:val="0"/>
                <w:color w:val="auto"/>
                <w:kern w:val="0"/>
                <w:sz w:val="24"/>
                <w:highlight w:val="none"/>
              </w:rPr>
              <w:t>人</w:t>
            </w:r>
          </w:p>
        </w:tc>
        <w:tc>
          <w:tcPr>
            <w:tcW w:w="1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4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电  话</w:t>
            </w:r>
          </w:p>
        </w:tc>
        <w:tc>
          <w:tcPr>
            <w:tcW w:w="16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2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手  机</w:t>
            </w:r>
          </w:p>
        </w:tc>
        <w:tc>
          <w:tcPr>
            <w:tcW w:w="18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30"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联 系 人</w:t>
            </w:r>
          </w:p>
        </w:tc>
        <w:tc>
          <w:tcPr>
            <w:tcW w:w="142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4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电  话</w:t>
            </w:r>
          </w:p>
        </w:tc>
        <w:tc>
          <w:tcPr>
            <w:tcW w:w="16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2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传  真</w:t>
            </w:r>
          </w:p>
        </w:tc>
        <w:tc>
          <w:tcPr>
            <w:tcW w:w="18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3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42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4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手  机</w:t>
            </w:r>
          </w:p>
        </w:tc>
        <w:tc>
          <w:tcPr>
            <w:tcW w:w="16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2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电子信箱</w:t>
            </w:r>
          </w:p>
        </w:tc>
        <w:tc>
          <w:tcPr>
            <w:tcW w:w="18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现场评审组成员</w:t>
            </w:r>
          </w:p>
        </w:tc>
        <w:tc>
          <w:tcPr>
            <w:tcW w:w="7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spacing w:val="-10"/>
                <w:kern w:val="0"/>
                <w:sz w:val="24"/>
                <w:highlight w:val="none"/>
              </w:rPr>
            </w:pPr>
            <w:r>
              <w:rPr>
                <w:rFonts w:hint="eastAsia" w:ascii="仿宋_GB2312"/>
                <w:snapToGrid w:val="0"/>
                <w:color w:val="auto"/>
                <w:spacing w:val="-10"/>
                <w:kern w:val="0"/>
                <w:sz w:val="24"/>
                <w:highlight w:val="none"/>
              </w:rPr>
              <w:t>姓  名</w:t>
            </w:r>
          </w:p>
        </w:tc>
        <w:tc>
          <w:tcPr>
            <w:tcW w:w="309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spacing w:val="-10"/>
                <w:kern w:val="0"/>
                <w:sz w:val="24"/>
                <w:highlight w:val="none"/>
              </w:rPr>
            </w:pPr>
            <w:r>
              <w:rPr>
                <w:rFonts w:hint="eastAsia" w:ascii="仿宋_GB2312"/>
                <w:snapToGrid w:val="0"/>
                <w:color w:val="auto"/>
                <w:spacing w:val="-10"/>
                <w:kern w:val="0"/>
                <w:sz w:val="24"/>
                <w:highlight w:val="none"/>
              </w:rPr>
              <w:t>单位/职务/职称</w:t>
            </w:r>
          </w:p>
        </w:tc>
        <w:tc>
          <w:tcPr>
            <w:tcW w:w="12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spacing w:val="-10"/>
                <w:kern w:val="0"/>
                <w:sz w:val="24"/>
                <w:highlight w:val="none"/>
              </w:rPr>
            </w:pPr>
            <w:r>
              <w:rPr>
                <w:rFonts w:hint="eastAsia" w:ascii="仿宋_GB2312"/>
                <w:snapToGrid w:val="0"/>
                <w:color w:val="auto"/>
                <w:spacing w:val="-10"/>
                <w:kern w:val="0"/>
                <w:sz w:val="24"/>
                <w:highlight w:val="none"/>
              </w:rPr>
              <w:t>电   话</w:t>
            </w:r>
          </w:p>
        </w:tc>
        <w:tc>
          <w:tcPr>
            <w:tcW w:w="18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spacing w:val="-10"/>
                <w:kern w:val="0"/>
                <w:sz w:val="24"/>
                <w:highlight w:val="none"/>
              </w:rPr>
            </w:pPr>
            <w:r>
              <w:rPr>
                <w:rFonts w:hint="eastAsia" w:ascii="仿宋_GB2312"/>
                <w:snapToGrid w:val="0"/>
                <w:color w:val="auto"/>
                <w:spacing w:val="-10"/>
                <w:kern w:val="0"/>
                <w:sz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7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组长</w:t>
            </w:r>
          </w:p>
        </w:tc>
        <w:tc>
          <w:tcPr>
            <w:tcW w:w="1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309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2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8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71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成员</w:t>
            </w:r>
          </w:p>
        </w:tc>
        <w:tc>
          <w:tcPr>
            <w:tcW w:w="1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309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2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8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71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309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2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8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71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309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2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8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71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309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2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8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080"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黑体" w:eastAsia="黑体"/>
                <w:snapToGrid w:val="0"/>
                <w:color w:val="auto"/>
                <w:kern w:val="0"/>
                <w:sz w:val="28"/>
                <w:szCs w:val="28"/>
                <w:highlight w:val="none"/>
              </w:rPr>
              <w:t>现场评审结果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948"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黑体" w:eastAsia="黑体"/>
                <w:snapToGrid w:val="0"/>
                <w:color w:val="auto"/>
                <w:kern w:val="0"/>
                <w:sz w:val="28"/>
                <w:szCs w:val="28"/>
                <w:highlight w:val="none"/>
              </w:rPr>
            </w:pPr>
            <w:r>
              <w:rPr>
                <w:rFonts w:hint="eastAsia" w:ascii="仿宋_GB2312"/>
                <w:snapToGrid w:val="0"/>
                <w:color w:val="auto"/>
                <w:kern w:val="0"/>
                <w:sz w:val="24"/>
                <w:highlight w:val="none"/>
              </w:rPr>
              <w:t xml:space="preserve">    </w:t>
            </w:r>
            <w:r>
              <w:rPr>
                <w:rFonts w:ascii="仿宋_GB2312"/>
                <w:snapToGrid w:val="0"/>
                <w:color w:val="auto"/>
                <w:kern w:val="0"/>
                <w:sz w:val="24"/>
                <w:highlight w:val="none"/>
              </w:rPr>
              <w:t>是否达到</w:t>
            </w:r>
            <w:r>
              <w:rPr>
                <w:rFonts w:hint="eastAsia" w:ascii="仿宋_GB2312"/>
                <w:snapToGrid w:val="0"/>
                <w:color w:val="auto"/>
                <w:kern w:val="0"/>
                <w:sz w:val="24"/>
                <w:highlight w:val="none"/>
              </w:rPr>
              <w:t>拟</w:t>
            </w:r>
            <w:r>
              <w:rPr>
                <w:rFonts w:ascii="仿宋_GB2312"/>
                <w:snapToGrid w:val="0"/>
                <w:color w:val="auto"/>
                <w:kern w:val="0"/>
                <w:sz w:val="24"/>
                <w:highlight w:val="none"/>
              </w:rPr>
              <w:t>申请</w:t>
            </w:r>
            <w:r>
              <w:rPr>
                <w:rFonts w:hint="eastAsia" w:ascii="仿宋_GB2312"/>
                <w:snapToGrid w:val="0"/>
                <w:color w:val="auto"/>
                <w:kern w:val="0"/>
                <w:sz w:val="24"/>
                <w:highlight w:val="none"/>
              </w:rPr>
              <w:t>等级： □</w:t>
            </w:r>
            <w:r>
              <w:rPr>
                <w:rFonts w:ascii="仿宋_GB2312"/>
                <w:snapToGrid w:val="0"/>
                <w:color w:val="auto"/>
                <w:kern w:val="0"/>
                <w:sz w:val="24"/>
                <w:highlight w:val="none"/>
              </w:rPr>
              <w:t>是</w:t>
            </w:r>
            <w:r>
              <w:rPr>
                <w:rFonts w:hint="eastAsia" w:ascii="仿宋_GB2312"/>
                <w:snapToGrid w:val="0"/>
                <w:color w:val="auto"/>
                <w:kern w:val="0"/>
                <w:sz w:val="24"/>
                <w:highlight w:val="none"/>
              </w:rPr>
              <w:t xml:space="preserve">   □</w:t>
            </w:r>
            <w:r>
              <w:rPr>
                <w:rFonts w:ascii="仿宋_GB2312"/>
                <w:snapToGrid w:val="0"/>
                <w:color w:val="auto"/>
                <w:kern w:val="0"/>
                <w:sz w:val="24"/>
                <w:highlight w:val="none"/>
              </w:rPr>
              <w:t>否</w:t>
            </w:r>
          </w:p>
        </w:tc>
        <w:tc>
          <w:tcPr>
            <w:tcW w:w="313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黑体" w:eastAsia="黑体"/>
                <w:snapToGrid w:val="0"/>
                <w:color w:val="auto"/>
                <w:kern w:val="0"/>
                <w:sz w:val="28"/>
                <w:szCs w:val="28"/>
                <w:highlight w:val="none"/>
              </w:rPr>
            </w:pPr>
            <w:r>
              <w:rPr>
                <w:rFonts w:hint="eastAsia" w:ascii="仿宋_GB2312"/>
                <w:snapToGrid w:val="0"/>
                <w:color w:val="auto"/>
                <w:kern w:val="0"/>
                <w:sz w:val="24"/>
                <w:highlight w:val="none"/>
              </w:rPr>
              <w:t xml:space="preserve">    现场评审得分：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0" w:hRule="atLeast"/>
        </w:trPr>
        <w:tc>
          <w:tcPr>
            <w:tcW w:w="9080" w:type="dxa"/>
            <w:gridSpan w:val="7"/>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r>
              <w:rPr>
                <w:rFonts w:hint="eastAsia" w:ascii="仿宋_GB2312"/>
                <w:snapToGrid w:val="0"/>
                <w:color w:val="auto"/>
                <w:kern w:val="0"/>
                <w:sz w:val="24"/>
                <w:highlight w:val="none"/>
              </w:rPr>
              <w:t xml:space="preserve">    现场评审组组长签字：</w:t>
            </w:r>
          </w:p>
          <w:p>
            <w:pPr>
              <w:keepNext w:val="0"/>
              <w:keepLines w:val="0"/>
              <w:pageBreakBefore w:val="0"/>
              <w:widowControl w:val="0"/>
              <w:kinsoku/>
              <w:wordWrap/>
              <w:overflowPunct/>
              <w:topLinePunct w:val="0"/>
              <w:autoSpaceDE/>
              <w:autoSpaceDN/>
              <w:bidi w:val="0"/>
              <w:adjustRightInd w:val="0"/>
              <w:snapToGrid w:val="0"/>
              <w:spacing w:line="400" w:lineRule="exact"/>
              <w:ind w:firstLine="1200" w:firstLineChars="500"/>
              <w:textAlignment w:val="auto"/>
              <w:rPr>
                <w:rFonts w:ascii="仿宋_GB2312"/>
                <w:snapToGrid w:val="0"/>
                <w:color w:val="auto"/>
                <w:kern w:val="0"/>
                <w:sz w:val="24"/>
                <w:highlight w:val="none"/>
              </w:rPr>
            </w:pPr>
            <w:r>
              <w:rPr>
                <w:rFonts w:hint="eastAsia" w:ascii="仿宋_GB2312"/>
                <w:snapToGrid w:val="0"/>
                <w:color w:val="auto"/>
                <w:kern w:val="0"/>
                <w:sz w:val="24"/>
                <w:highlight w:val="none"/>
              </w:rPr>
              <w:t xml:space="preserve">    成员签字：</w:t>
            </w:r>
          </w:p>
          <w:p>
            <w:pPr>
              <w:keepNext w:val="0"/>
              <w:keepLines w:val="0"/>
              <w:pageBreakBefore w:val="0"/>
              <w:widowControl w:val="0"/>
              <w:kinsoku/>
              <w:wordWrap/>
              <w:overflowPunct/>
              <w:topLinePunct w:val="0"/>
              <w:autoSpaceDE/>
              <w:autoSpaceDN/>
              <w:bidi w:val="0"/>
              <w:spacing w:line="400" w:lineRule="exact"/>
              <w:textAlignment w:val="auto"/>
              <w:rPr>
                <w:rFonts w:ascii="宋体"/>
                <w:color w:val="auto"/>
                <w:sz w:val="24"/>
                <w:highlight w:val="none"/>
              </w:rPr>
            </w:pPr>
            <w:r>
              <w:rPr>
                <w:rFonts w:hint="eastAsia" w:ascii="仿宋_GB2312"/>
                <w:snapToGrid w:val="0"/>
                <w:color w:val="auto"/>
                <w:kern w:val="0"/>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9080"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r>
              <w:rPr>
                <w:rFonts w:hint="eastAsia" w:ascii="仿宋_GB2312"/>
                <w:snapToGrid w:val="0"/>
                <w:color w:val="auto"/>
                <w:kern w:val="0"/>
                <w:sz w:val="24"/>
                <w:highlight w:val="none"/>
              </w:rPr>
              <w:t xml:space="preserve">    现场评审情况：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9080"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r>
              <w:rPr>
                <w:rFonts w:hint="eastAsia" w:ascii="仿宋_GB2312"/>
                <w:snapToGrid w:val="0"/>
                <w:color w:val="auto"/>
                <w:kern w:val="0"/>
                <w:sz w:val="24"/>
                <w:highlight w:val="none"/>
              </w:rPr>
              <w:t xml:space="preserve">    现场评审不符合项及整改完成情况（另附表提供）：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9080"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r>
              <w:rPr>
                <w:rFonts w:hint="eastAsia" w:ascii="仿宋_GB2312"/>
                <w:snapToGrid w:val="0"/>
                <w:color w:val="auto"/>
                <w:kern w:val="0"/>
                <w:sz w:val="24"/>
                <w:highlight w:val="none"/>
              </w:rPr>
              <w:t xml:space="preserve">    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2" w:hRule="atLeast"/>
        </w:trPr>
        <w:tc>
          <w:tcPr>
            <w:tcW w:w="9080" w:type="dxa"/>
            <w:gridSpan w:val="7"/>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r>
              <w:rPr>
                <w:rFonts w:hint="eastAsia" w:ascii="宋体" w:hAnsi="宋体"/>
                <w:color w:val="auto"/>
                <w:sz w:val="24"/>
                <w:highlight w:val="none"/>
              </w:rPr>
              <w:t xml:space="preserve">    </w:t>
            </w:r>
            <w:r>
              <w:rPr>
                <w:rFonts w:hint="eastAsia" w:ascii="仿宋_GB2312"/>
                <w:snapToGrid w:val="0"/>
                <w:color w:val="auto"/>
                <w:kern w:val="0"/>
                <w:sz w:val="24"/>
                <w:highlight w:val="none"/>
              </w:rPr>
              <w:t>申请定级企业意见：             主要负责人签字：</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r>
              <w:rPr>
                <w:rFonts w:hint="eastAsia" w:ascii="仿宋_GB2312"/>
                <w:snapToGrid w:val="0"/>
                <w:color w:val="auto"/>
                <w:kern w:val="0"/>
                <w:sz w:val="24"/>
                <w:highlight w:val="none"/>
              </w:rPr>
              <w:t xml:space="preserve">                                                     （企业盖章）   </w:t>
            </w:r>
            <w:r>
              <w:rPr>
                <w:rFonts w:ascii="仿宋_GB2312"/>
                <w:snapToGrid w:val="0"/>
                <w:color w:val="auto"/>
                <w:kern w:val="0"/>
                <w:sz w:val="24"/>
                <w:highlight w:val="none"/>
              </w:rPr>
              <w:t xml:space="preserve">                                           </w:t>
            </w:r>
            <w:r>
              <w:rPr>
                <w:rFonts w:hint="eastAsia" w:ascii="仿宋_GB2312"/>
                <w:snapToGrid w:val="0"/>
                <w:color w:val="auto"/>
                <w:kern w:val="0"/>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r>
              <w:rPr>
                <w:rFonts w:hint="eastAsia" w:ascii="仿宋_GB2312"/>
                <w:snapToGrid w:val="0"/>
                <w:color w:val="auto"/>
                <w:kern w:val="0"/>
                <w:sz w:val="24"/>
                <w:highlight w:val="none"/>
              </w:rPr>
              <w:t xml:space="preserve">                                                      年   月</w:t>
            </w:r>
            <w:r>
              <w:rPr>
                <w:rFonts w:ascii="仿宋_GB2312"/>
                <w:snapToGrid w:val="0"/>
                <w:color w:val="auto"/>
                <w:kern w:val="0"/>
                <w:sz w:val="24"/>
                <w:highlight w:val="none"/>
              </w:rPr>
              <w:t xml:space="preserve"> </w:t>
            </w:r>
            <w:r>
              <w:rPr>
                <w:rFonts w:hint="eastAsia" w:ascii="仿宋_GB2312"/>
                <w:snapToGrid w:val="0"/>
                <w:color w:val="auto"/>
                <w:kern w:val="0"/>
                <w:sz w:val="24"/>
                <w:highlight w:val="none"/>
              </w:rPr>
              <w:t xml:space="preserve">  日</w:t>
            </w:r>
          </w:p>
        </w:tc>
      </w:tr>
    </w:tbl>
    <w:p>
      <w:pPr>
        <w:pStyle w:val="2"/>
        <w:keepNext w:val="0"/>
        <w:keepLines w:val="0"/>
        <w:pageBreakBefore w:val="0"/>
        <w:kinsoku/>
        <w:overflowPunct/>
        <w:topLinePunct w:val="0"/>
        <w:autoSpaceDE/>
        <w:autoSpaceDN/>
        <w:bidi w:val="0"/>
        <w:spacing w:after="0" w:line="580" w:lineRule="exact"/>
        <w:ind w:left="0" w:leftChars="0" w:firstLine="0" w:firstLineChars="0"/>
        <w:textAlignment w:val="auto"/>
        <w:rPr>
          <w:rStyle w:val="11"/>
          <w:rFonts w:hint="eastAsia" w:ascii="黑体" w:hAnsi="黑体" w:eastAsia="黑体" w:cs="黑体"/>
          <w:i w:val="0"/>
          <w:iCs w:val="0"/>
          <w:caps w:val="0"/>
          <w:color w:val="auto"/>
          <w:spacing w:val="0"/>
          <w:sz w:val="32"/>
          <w:szCs w:val="32"/>
          <w:highlight w:val="none"/>
          <w:u w:val="none"/>
          <w:shd w:val="clear" w:color="auto" w:fill="FFFFFF"/>
          <w:lang w:val="en-US" w:eastAsia="zh-CN"/>
        </w:rPr>
      </w:pPr>
      <w:r>
        <w:rPr>
          <w:rStyle w:val="11"/>
          <w:rFonts w:hint="eastAsia" w:ascii="黑体" w:hAnsi="黑体" w:eastAsia="黑体" w:cs="黑体"/>
          <w:i w:val="0"/>
          <w:iCs w:val="0"/>
          <w:caps w:val="0"/>
          <w:color w:val="auto"/>
          <w:spacing w:val="0"/>
          <w:sz w:val="32"/>
          <w:szCs w:val="32"/>
          <w:highlight w:val="none"/>
          <w:u w:val="none"/>
          <w:shd w:val="clear" w:color="auto" w:fill="FFFFFF"/>
          <w:lang w:val="en-US" w:eastAsia="zh-CN"/>
        </w:rPr>
        <w:t>附件4</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1600" w:leftChars="0"/>
        <w:jc w:val="both"/>
        <w:textAlignment w:val="auto"/>
        <w:rPr>
          <w:rFonts w:hint="eastAsia" w:ascii="黑体" w:hAnsi="黑体" w:eastAsia="黑体" w:cs="黑体"/>
          <w:i w:val="0"/>
          <w:iCs w:val="0"/>
          <w:caps w:val="0"/>
          <w:color w:val="auto"/>
          <w:spacing w:val="-6"/>
          <w:sz w:val="32"/>
          <w:szCs w:val="32"/>
          <w:highlight w:val="none"/>
          <w:u w:val="none"/>
          <w:shd w:val="clear" w:color="auto" w:fill="FFFFFF"/>
          <w:lang w:val="en-US" w:eastAsia="zh-CN"/>
        </w:rPr>
      </w:pPr>
      <w:r>
        <w:rPr>
          <w:rFonts w:hint="eastAsia" w:ascii="黑体" w:hAnsi="黑体" w:eastAsia="黑体" w:cs="黑体"/>
          <w:i w:val="0"/>
          <w:iCs w:val="0"/>
          <w:caps w:val="0"/>
          <w:color w:val="auto"/>
          <w:spacing w:val="-6"/>
          <w:sz w:val="32"/>
          <w:szCs w:val="32"/>
          <w:highlight w:val="none"/>
          <w:u w:val="none"/>
          <w:shd w:val="clear" w:color="auto" w:fill="FFFFFF"/>
        </w:rPr>
        <w:fldChar w:fldCharType="begin"/>
      </w:r>
      <w:r>
        <w:rPr>
          <w:rFonts w:hint="eastAsia" w:ascii="黑体" w:hAnsi="黑体" w:eastAsia="黑体" w:cs="黑体"/>
          <w:i w:val="0"/>
          <w:iCs w:val="0"/>
          <w:caps w:val="0"/>
          <w:color w:val="auto"/>
          <w:spacing w:val="-6"/>
          <w:sz w:val="32"/>
          <w:szCs w:val="32"/>
          <w:highlight w:val="none"/>
          <w:u w:val="none"/>
          <w:shd w:val="clear" w:color="auto" w:fill="FFFFFF"/>
        </w:rPr>
        <w:instrText xml:space="preserve"> HYPERLINK "https://www.mem.gov.cn/gk/zfxxgkpt/fdzdgknr/202111/W020211101559536877178.docx" \t "https://www.china-safety.org.cn/Article/_blank" </w:instrText>
      </w:r>
      <w:r>
        <w:rPr>
          <w:rFonts w:hint="eastAsia" w:ascii="黑体" w:hAnsi="黑体" w:eastAsia="黑体" w:cs="黑体"/>
          <w:i w:val="0"/>
          <w:iCs w:val="0"/>
          <w:caps w:val="0"/>
          <w:color w:val="auto"/>
          <w:spacing w:val="-6"/>
          <w:sz w:val="32"/>
          <w:szCs w:val="32"/>
          <w:highlight w:val="none"/>
          <w:u w:val="none"/>
          <w:shd w:val="clear" w:color="auto" w:fill="FFFFFF"/>
        </w:rPr>
        <w:fldChar w:fldCharType="separate"/>
      </w:r>
      <w:r>
        <w:rPr>
          <w:rStyle w:val="11"/>
          <w:rFonts w:hint="eastAsia" w:ascii="黑体" w:hAnsi="黑体" w:eastAsia="黑体" w:cs="黑体"/>
          <w:i w:val="0"/>
          <w:iCs w:val="0"/>
          <w:caps w:val="0"/>
          <w:color w:val="auto"/>
          <w:spacing w:val="-6"/>
          <w:sz w:val="32"/>
          <w:szCs w:val="32"/>
          <w:highlight w:val="none"/>
          <w:u w:val="none"/>
          <w:shd w:val="clear" w:color="auto" w:fill="FFFFFF"/>
        </w:rPr>
        <w:t>企业安全生产标准化现场评审报告</w:t>
      </w:r>
      <w:r>
        <w:rPr>
          <w:rFonts w:hint="eastAsia" w:ascii="黑体" w:hAnsi="黑体" w:eastAsia="黑体" w:cs="黑体"/>
          <w:i w:val="0"/>
          <w:iCs w:val="0"/>
          <w:caps w:val="0"/>
          <w:color w:val="auto"/>
          <w:spacing w:val="-6"/>
          <w:sz w:val="32"/>
          <w:szCs w:val="32"/>
          <w:highlight w:val="none"/>
          <w:u w:val="none"/>
          <w:shd w:val="clear" w:color="auto" w:fill="FFFFFF"/>
        </w:rPr>
        <w:fldChar w:fldCharType="end"/>
      </w:r>
      <w:r>
        <w:rPr>
          <w:rFonts w:hint="eastAsia" w:ascii="黑体" w:hAnsi="黑体" w:eastAsia="黑体" w:cs="黑体"/>
          <w:i w:val="0"/>
          <w:iCs w:val="0"/>
          <w:caps w:val="0"/>
          <w:color w:val="auto"/>
          <w:spacing w:val="-6"/>
          <w:sz w:val="32"/>
          <w:szCs w:val="32"/>
          <w:highlight w:val="none"/>
          <w:u w:val="none"/>
          <w:shd w:val="clear" w:color="auto" w:fill="FFFFFF"/>
          <w:lang w:val="en-US" w:eastAsia="zh-CN"/>
        </w:rPr>
        <w:t>审查意见书</w:t>
      </w:r>
    </w:p>
    <w:p>
      <w:pPr>
        <w:pStyle w:val="2"/>
        <w:keepNext w:val="0"/>
        <w:keepLines w:val="0"/>
        <w:pageBreakBefore w:val="0"/>
        <w:kinsoku/>
        <w:overflowPunct/>
        <w:topLinePunct w:val="0"/>
        <w:autoSpaceDE/>
        <w:autoSpaceDN/>
        <w:bidi w:val="0"/>
        <w:spacing w:after="0" w:line="580" w:lineRule="exact"/>
        <w:textAlignment w:val="auto"/>
        <w:rPr>
          <w:rFonts w:hint="eastAsia"/>
          <w:color w:val="auto"/>
          <w:highlight w:val="none"/>
          <w:lang w:val="en-US" w:eastAsia="zh-CN"/>
        </w:rPr>
      </w:pPr>
    </w:p>
    <w:tbl>
      <w:tblPr>
        <w:tblStyle w:val="8"/>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3324"/>
        <w:gridCol w:w="20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企业</w:t>
            </w:r>
            <w:r>
              <w:rPr>
                <w:rFonts w:hint="eastAsia" w:ascii="宋体" w:hAnsi="宋体" w:eastAsia="宋体" w:cs="宋体"/>
                <w:b w:val="0"/>
                <w:bCs w:val="0"/>
                <w:color w:val="auto"/>
                <w:sz w:val="24"/>
                <w:szCs w:val="24"/>
                <w:highlight w:val="none"/>
              </w:rPr>
              <w:t>名称</w:t>
            </w:r>
          </w:p>
        </w:tc>
        <w:tc>
          <w:tcPr>
            <w:tcW w:w="33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580" w:lineRule="exact"/>
              <w:jc w:val="center"/>
              <w:textAlignment w:val="auto"/>
              <w:rPr>
                <w:rFonts w:hint="eastAsia" w:ascii="宋体" w:hAnsi="宋体" w:eastAsia="宋体" w:cs="宋体"/>
                <w:b w:val="0"/>
                <w:bCs w:val="0"/>
                <w:color w:val="auto"/>
                <w:sz w:val="24"/>
                <w:szCs w:val="24"/>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联系人及电话</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申请等级</w:t>
            </w:r>
          </w:p>
        </w:tc>
        <w:tc>
          <w:tcPr>
            <w:tcW w:w="332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jc w:val="both"/>
              <w:textAlignment w:val="auto"/>
              <w:rPr>
                <w:rFonts w:hint="eastAsia" w:ascii="宋体" w:hAnsi="宋体" w:eastAsia="宋体" w:cs="宋体"/>
                <w:b w:val="0"/>
                <w:bCs w:val="0"/>
                <w:color w:val="auto"/>
                <w:sz w:val="24"/>
                <w:szCs w:val="24"/>
                <w:highlight w:val="none"/>
                <w:lang w:val="en-US" w:eastAsia="zh-CN"/>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申请</w:t>
            </w:r>
            <w:r>
              <w:rPr>
                <w:rFonts w:hint="eastAsia" w:ascii="宋体" w:hAnsi="宋体" w:eastAsia="宋体" w:cs="宋体"/>
                <w:b w:val="0"/>
                <w:bCs w:val="0"/>
                <w:color w:val="auto"/>
                <w:sz w:val="24"/>
                <w:szCs w:val="24"/>
                <w:highlight w:val="none"/>
              </w:rPr>
              <w:t>类型</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初评/复评）</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负责现场评审单位</w:t>
            </w:r>
          </w:p>
        </w:tc>
        <w:tc>
          <w:tcPr>
            <w:tcW w:w="332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联系人及电话</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现场评审分数</w:t>
            </w:r>
          </w:p>
        </w:tc>
        <w:tc>
          <w:tcPr>
            <w:tcW w:w="332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是否整改完成</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定级组织单位</w:t>
            </w:r>
          </w:p>
        </w:tc>
        <w:tc>
          <w:tcPr>
            <w:tcW w:w="332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jc w:val="center"/>
              <w:textAlignment w:val="auto"/>
              <w:rPr>
                <w:rFonts w:hint="eastAsia" w:ascii="宋体" w:hAnsi="宋体" w:eastAsia="宋体" w:cs="宋体"/>
                <w:b w:val="0"/>
                <w:bCs w:val="0"/>
                <w:color w:val="auto"/>
                <w:sz w:val="24"/>
                <w:szCs w:val="24"/>
                <w:highlight w:val="none"/>
                <w:lang w:val="en-US" w:eastAsia="zh-CN"/>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联系人及电话</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0" w:hRule="atLeast"/>
        </w:trPr>
        <w:tc>
          <w:tcPr>
            <w:tcW w:w="2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定级组织单位</w:t>
            </w:r>
            <w:r>
              <w:rPr>
                <w:rFonts w:hint="eastAsia" w:ascii="宋体" w:hAnsi="宋体" w:eastAsia="宋体" w:cs="宋体"/>
                <w:b w:val="0"/>
                <w:bCs w:val="0"/>
                <w:color w:val="auto"/>
                <w:sz w:val="24"/>
                <w:szCs w:val="24"/>
                <w:highlight w:val="none"/>
              </w:rPr>
              <w:t>审查意见</w:t>
            </w:r>
          </w:p>
        </w:tc>
        <w:tc>
          <w:tcPr>
            <w:tcW w:w="659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jc w:val="both"/>
              <w:textAlignment w:val="auto"/>
              <w:rPr>
                <w:rFonts w:hint="eastAsia" w:ascii="宋体" w:hAnsi="宋体" w:eastAsia="宋体" w:cs="宋体"/>
                <w:b w:val="0"/>
                <w:bCs w:val="0"/>
                <w:color w:val="auto"/>
                <w:highlight w:val="none"/>
                <w:lang w:val="en-US" w:eastAsia="zh-CN"/>
              </w:rPr>
            </w:pPr>
          </w:p>
          <w:p>
            <w:pPr>
              <w:pStyle w:val="2"/>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2"/>
              <w:keepNext w:val="0"/>
              <w:keepLines w:val="0"/>
              <w:pageBreakBefore w:val="0"/>
              <w:kinsoku/>
              <w:overflowPunct/>
              <w:topLinePunct w:val="0"/>
              <w:autoSpaceDE/>
              <w:autoSpaceDN/>
              <w:bidi w:val="0"/>
              <w:spacing w:after="0" w:line="58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p>
          <w:p>
            <w:pPr>
              <w:pStyle w:val="2"/>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2"/>
              <w:keepNext w:val="0"/>
              <w:keepLines w:val="0"/>
              <w:pageBreakBefore w:val="0"/>
              <w:kinsoku/>
              <w:overflowPunct/>
              <w:topLinePunct w:val="0"/>
              <w:autoSpaceDE/>
              <w:autoSpaceDN/>
              <w:bidi w:val="0"/>
              <w:spacing w:after="0" w:line="58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p>
          <w:p>
            <w:pPr>
              <w:pStyle w:val="2"/>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2"/>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2"/>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2"/>
              <w:keepNext w:val="0"/>
              <w:keepLines w:val="0"/>
              <w:pageBreakBefore w:val="0"/>
              <w:kinsoku/>
              <w:overflowPunct/>
              <w:topLinePunct w:val="0"/>
              <w:autoSpaceDE/>
              <w:autoSpaceDN/>
              <w:bidi w:val="0"/>
              <w:spacing w:after="0" w:line="58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p>
          <w:p>
            <w:pPr>
              <w:pStyle w:val="2"/>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定级组织单位（盖章）：</w:t>
            </w:r>
          </w:p>
          <w:p>
            <w:pPr>
              <w:pStyle w:val="2"/>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日期：</w:t>
            </w:r>
          </w:p>
        </w:tc>
      </w:tr>
    </w:tbl>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ascii="仿宋" w:hAnsi="仿宋" w:eastAsia="仿宋" w:cs="仿宋"/>
          <w:sz w:val="32"/>
          <w:szCs w:val="32"/>
          <w:highlight w:val="none"/>
        </w:rPr>
        <w:sectPr>
          <w:pgSz w:w="11906" w:h="16838"/>
          <w:pgMar w:top="2041" w:right="1531" w:bottom="1984" w:left="1531" w:header="851" w:footer="1276"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 w:hAnsi="仿宋" w:eastAsia="仿宋" w:cs="仿宋"/>
          <w:sz w:val="32"/>
          <w:szCs w:val="32"/>
          <w:highlight w:val="none"/>
          <w:lang w:eastAsia="zh-CN"/>
        </w:rPr>
      </w:pPr>
      <w:r>
        <w:rPr>
          <w:rFonts w:hint="eastAsia" w:ascii="黑体" w:hAnsi="黑体" w:eastAsia="黑体" w:cs="黑体"/>
          <w:sz w:val="32"/>
          <w:szCs w:val="32"/>
          <w:highlight w:val="none"/>
        </w:rPr>
        <mc:AlternateContent>
          <mc:Choice Requires="wpg">
            <w:drawing>
              <wp:anchor distT="0" distB="0" distL="114300" distR="114300" simplePos="0" relativeHeight="251664384" behindDoc="1" locked="0" layoutInCell="1" allowOverlap="1">
                <wp:simplePos x="0" y="0"/>
                <wp:positionH relativeFrom="column">
                  <wp:posOffset>669925</wp:posOffset>
                </wp:positionH>
                <wp:positionV relativeFrom="paragraph">
                  <wp:posOffset>9765030</wp:posOffset>
                </wp:positionV>
                <wp:extent cx="6199505" cy="92075"/>
                <wp:effectExtent l="0" t="6350" r="10795" b="0"/>
                <wp:wrapNone/>
                <wp:docPr id="21" name="组合 21"/>
                <wp:cNvGraphicFramePr/>
                <a:graphic xmlns:a="http://schemas.openxmlformats.org/drawingml/2006/main">
                  <a:graphicData uri="http://schemas.microsoft.com/office/word/2010/wordprocessingGroup">
                    <wpg:wgp>
                      <wpg:cNvGrpSpPr/>
                      <wpg:grpSpPr>
                        <a:xfrm>
                          <a:off x="0" y="0"/>
                          <a:ext cx="6199505" cy="92075"/>
                          <a:chOff x="1055" y="15378"/>
                          <a:chExt cx="9763" cy="145"/>
                        </a:xfrm>
                      </wpg:grpSpPr>
                      <wps:wsp>
                        <wps:cNvPr id="19" name="任意多边形 19"/>
                        <wps:cNvSpPr/>
                        <wps:spPr>
                          <a:xfrm>
                            <a:off x="1055" y="15452"/>
                            <a:ext cx="9763" cy="71"/>
                          </a:xfrm>
                          <a:custGeom>
                            <a:avLst/>
                            <a:gdLst/>
                            <a:ahLst/>
                            <a:cxnLst/>
                            <a:rect l="0" t="0" r="0" b="0"/>
                            <a:pathLst>
                              <a:path w="9640">
                                <a:moveTo>
                                  <a:pt x="0" y="0"/>
                                </a:moveTo>
                                <a:lnTo>
                                  <a:pt x="9640" y="0"/>
                                </a:lnTo>
                              </a:path>
                            </a:pathLst>
                          </a:custGeom>
                          <a:noFill/>
                          <a:ln w="34290" cap="flat" cmpd="sng">
                            <a:solidFill>
                              <a:srgbClr val="FF0000"/>
                            </a:solidFill>
                            <a:prstDash val="solid"/>
                            <a:headEnd type="none" w="med" len="med"/>
                            <a:tailEnd type="none" w="med" len="med"/>
                          </a:ln>
                        </wps:spPr>
                        <wps:bodyPr upright="1"/>
                      </wps:wsp>
                      <wps:wsp>
                        <wps:cNvPr id="20" name="任意多边形 20"/>
                        <wps:cNvSpPr/>
                        <wps:spPr>
                          <a:xfrm>
                            <a:off x="1055" y="15378"/>
                            <a:ext cx="9763" cy="102"/>
                          </a:xfrm>
                          <a:custGeom>
                            <a:avLst/>
                            <a:gdLst/>
                            <a:ahLst/>
                            <a:cxnLst/>
                            <a:rect l="0" t="0" r="0" b="0"/>
                            <a:pathLst>
                              <a:path w="9640">
                                <a:moveTo>
                                  <a:pt x="0" y="0"/>
                                </a:moveTo>
                                <a:lnTo>
                                  <a:pt x="9640" y="0"/>
                                </a:lnTo>
                              </a:path>
                            </a:pathLst>
                          </a:custGeom>
                          <a:noFill/>
                          <a:ln w="1270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2.75pt;margin-top:768.9pt;height:7.25pt;width:488.15pt;z-index:-251652096;mso-width-relative:page;mso-height-relative:page;" coordorigin="1055,15378" coordsize="9763,145" o:gfxdata="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BOGWrp2QAAAA4BAAAPAAAAAAAAAAEAIAAAACIAAABkcnMvZG93&#10;bnJldi54bWxQSwECFAAUAAAACACHTuJAfsUJruMCAACqCAAADgAAAAAAAAABACAAAAAoAQAAZHJz&#10;L2Uyb0RvYy54bWxQSwUGAAAAAAYABgBZAQAAfQYAAAAA&#10;">
                <o:lock v:ext="edit" aspectratio="f"/>
                <v:shape id="_x0000_s1026" o:spid="_x0000_s1026" o:spt="100" style="position:absolute;left:1055;top:15452;height:71;width:9763;" filled="f" stroked="t" coordsize="9640,1" o:gfxdata="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1/+fugAAANsA&#10;AAAPAAAAAAAAAAEAIAAAACIAAABkcnMvZG93bnJldi54bWxQSwECFAAUAAAACACHTuJAMy8FnjsA&#10;AAA5AAAAEAAAAAAAAAABACAAAAAJAQAAZHJzL3NoYXBleG1sLnhtbFBLBQYAAAAABgAGAFsBAACz&#10;AwAAAAA=&#10;" path="m0,0l9640,0e">
                  <v:fill on="f" focussize="0,0"/>
                  <v:stroke weight="2.7pt" color="#FF0000" joinstyle="round"/>
                  <v:imagedata o:title=""/>
                  <o:lock v:ext="edit" aspectratio="f"/>
                </v:shape>
                <v:shape id="_x0000_s1026" o:spid="_x0000_s1026" o:spt="100" style="position:absolute;left:1055;top:15378;height:102;width:9763;" filled="f" stroked="t" coordsize="9640,1" o:gfxdata="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cBqkW2AAAA2wAAAA8A&#10;AAAAAAAAAQAgAAAAIgAAAGRycy9kb3ducmV2LnhtbFBLAQIUABQAAAAIAIdO4kAzLwWeOwAAADkA&#10;AAAQAAAAAAAAAAEAIAAAAAUBAABkcnMvc2hhcGV4bWwueG1sUEsFBgAAAAAGAAYAWwEAAK8DAAAA&#10;AA==&#10;" path="m0,0l9640,0e">
                  <v:fill on="f" focussize="0,0"/>
                  <v:stroke weight="1pt" color="#FF0000" joinstyle="round"/>
                  <v:imagedata o:title=""/>
                  <o:lock v:ext="edit" aspectratio="f"/>
                </v:shape>
              </v:group>
            </w:pict>
          </mc:Fallback>
        </mc:AlternateContent>
      </w:r>
      <w:r>
        <w:rPr>
          <w:rFonts w:hint="eastAsia" w:ascii="黑体" w:hAnsi="黑体" w:eastAsia="黑体" w:cs="黑体"/>
          <w:sz w:val="32"/>
          <w:szCs w:val="32"/>
          <w:highlight w:val="none"/>
        </w:rPr>
        <mc:AlternateContent>
          <mc:Choice Requires="wpg">
            <w:drawing>
              <wp:anchor distT="0" distB="0" distL="114300" distR="114300" simplePos="0" relativeHeight="251661312" behindDoc="1" locked="0" layoutInCell="1" allowOverlap="1">
                <wp:simplePos x="0" y="0"/>
                <wp:positionH relativeFrom="column">
                  <wp:posOffset>669925</wp:posOffset>
                </wp:positionH>
                <wp:positionV relativeFrom="paragraph">
                  <wp:posOffset>9765030</wp:posOffset>
                </wp:positionV>
                <wp:extent cx="6199505" cy="92075"/>
                <wp:effectExtent l="0" t="6350" r="10795" b="0"/>
                <wp:wrapNone/>
                <wp:docPr id="12" name="组合 12"/>
                <wp:cNvGraphicFramePr/>
                <a:graphic xmlns:a="http://schemas.openxmlformats.org/drawingml/2006/main">
                  <a:graphicData uri="http://schemas.microsoft.com/office/word/2010/wordprocessingGroup">
                    <wpg:wgp>
                      <wpg:cNvGrpSpPr/>
                      <wpg:grpSpPr>
                        <a:xfrm>
                          <a:off x="0" y="0"/>
                          <a:ext cx="6199505" cy="92075"/>
                          <a:chOff x="1055" y="15378"/>
                          <a:chExt cx="9763" cy="145"/>
                        </a:xfrm>
                      </wpg:grpSpPr>
                      <wps:wsp>
                        <wps:cNvPr id="10" name="任意多边形 10"/>
                        <wps:cNvSpPr/>
                        <wps:spPr>
                          <a:xfrm>
                            <a:off x="1055" y="15452"/>
                            <a:ext cx="9763" cy="71"/>
                          </a:xfrm>
                          <a:custGeom>
                            <a:avLst/>
                            <a:gdLst/>
                            <a:ahLst/>
                            <a:cxnLst/>
                            <a:rect l="0" t="0" r="0" b="0"/>
                            <a:pathLst>
                              <a:path w="9640">
                                <a:moveTo>
                                  <a:pt x="0" y="0"/>
                                </a:moveTo>
                                <a:lnTo>
                                  <a:pt x="9640" y="0"/>
                                </a:lnTo>
                              </a:path>
                            </a:pathLst>
                          </a:custGeom>
                          <a:noFill/>
                          <a:ln w="34290" cap="flat" cmpd="sng">
                            <a:solidFill>
                              <a:srgbClr val="FF0000"/>
                            </a:solidFill>
                            <a:prstDash val="solid"/>
                            <a:headEnd type="none" w="med" len="med"/>
                            <a:tailEnd type="none" w="med" len="med"/>
                          </a:ln>
                        </wps:spPr>
                        <wps:bodyPr upright="1"/>
                      </wps:wsp>
                      <wps:wsp>
                        <wps:cNvPr id="11" name="任意多边形 11"/>
                        <wps:cNvSpPr/>
                        <wps:spPr>
                          <a:xfrm>
                            <a:off x="1055" y="15378"/>
                            <a:ext cx="9763" cy="102"/>
                          </a:xfrm>
                          <a:custGeom>
                            <a:avLst/>
                            <a:gdLst/>
                            <a:ahLst/>
                            <a:cxnLst/>
                            <a:rect l="0" t="0" r="0" b="0"/>
                            <a:pathLst>
                              <a:path w="9640">
                                <a:moveTo>
                                  <a:pt x="0" y="0"/>
                                </a:moveTo>
                                <a:lnTo>
                                  <a:pt x="9640" y="0"/>
                                </a:lnTo>
                              </a:path>
                            </a:pathLst>
                          </a:custGeom>
                          <a:noFill/>
                          <a:ln w="1270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2.75pt;margin-top:768.9pt;height:7.25pt;width:488.15pt;z-index:-251655168;mso-width-relative:page;mso-height-relative:page;" coordorigin="1055,15378" coordsize="9763,145" o:gfxdata="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BOGWrp2QAAAA4BAAAPAAAAAAAAAAEAIAAAACIAAABkcnMvZG93bnJldi54bWxQ&#10;SwECFAAUAAAACACHTuJAenR1GNoCAACqCAAADgAAAAAAAAABACAAAAAoAQAAZHJzL2Uyb0RvYy54&#10;bWxQSwUGAAAAAAYABgBZAQAAdAYAAAAA&#10;">
                <o:lock v:ext="edit" aspectratio="f"/>
                <v:shape id="_x0000_s1026" o:spid="_x0000_s1026" o:spt="100" style="position:absolute;left:1055;top:15452;height:71;width:9763;" filled="f" stroked="t" coordsize="9640,1" o:gfxdata="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7VYCvQAA&#10;ANsAAAAPAAAAAAAAAAEAIAAAACIAAABkcnMvZG93bnJldi54bWxQSwECFAAUAAAACACHTuJAMy8F&#10;njsAAAA5AAAAEAAAAAAAAAABACAAAAAMAQAAZHJzL3NoYXBleG1sLnhtbFBLBQYAAAAABgAGAFsB&#10;AAC2AwAAAAA=&#10;" path="m0,0l9640,0e">
                  <v:fill on="f" focussize="0,0"/>
                  <v:stroke weight="2.7pt" color="#FF0000" joinstyle="round"/>
                  <v:imagedata o:title=""/>
                  <o:lock v:ext="edit" aspectratio="f"/>
                </v:shape>
                <v:shape id="_x0000_s1026" o:spid="_x0000_s1026" o:spt="100" style="position:absolute;left:1055;top:15378;height:102;width:9763;" filled="f" stroked="t" coordsize="9640,1" o:gfxdata="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iHFY7gAAADbAAAA&#10;DwAAAAAAAAABACAAAAAiAAAAZHJzL2Rvd25yZXYueG1sUEsBAhQAFAAAAAgAh07iQDMvBZ47AAAA&#10;OQAAABAAAAAAAAAAAQAgAAAABwEAAGRycy9zaGFwZXhtbC54bWxQSwUGAAAAAAYABgBbAQAAsQMA&#10;AAAA&#10;" path="m0,0l9640,0e">
                  <v:fill on="f" focussize="0,0"/>
                  <v:stroke weight="1pt" color="#FF0000" joinstyle="round"/>
                  <v:imagedata o:title=""/>
                  <o:lock v:ext="edit" aspectratio="f"/>
                </v:shape>
              </v:group>
            </w:pict>
          </mc:Fallback>
        </mc:AlternateContent>
      </w:r>
      <w:r>
        <w:rPr>
          <w:rFonts w:hint="eastAsia" w:ascii="黑体" w:hAnsi="黑体" w:eastAsia="黑体" w:cs="黑体"/>
          <w:sz w:val="32"/>
          <w:szCs w:val="32"/>
          <w:highlight w:val="none"/>
        </w:rPr>
        <mc:AlternateContent>
          <mc:Choice Requires="wpg">
            <w:drawing>
              <wp:anchor distT="0" distB="0" distL="114300" distR="114300" simplePos="0" relativeHeight="251660288" behindDoc="1" locked="0" layoutInCell="1" allowOverlap="1">
                <wp:simplePos x="0" y="0"/>
                <wp:positionH relativeFrom="column">
                  <wp:posOffset>669925</wp:posOffset>
                </wp:positionH>
                <wp:positionV relativeFrom="paragraph">
                  <wp:posOffset>9765030</wp:posOffset>
                </wp:positionV>
                <wp:extent cx="6199505" cy="92075"/>
                <wp:effectExtent l="0" t="6350" r="10795" b="0"/>
                <wp:wrapNone/>
                <wp:docPr id="9" name="组合 9"/>
                <wp:cNvGraphicFramePr/>
                <a:graphic xmlns:a="http://schemas.openxmlformats.org/drawingml/2006/main">
                  <a:graphicData uri="http://schemas.microsoft.com/office/word/2010/wordprocessingGroup">
                    <wpg:wgp>
                      <wpg:cNvGrpSpPr/>
                      <wpg:grpSpPr>
                        <a:xfrm>
                          <a:off x="0" y="0"/>
                          <a:ext cx="6199505" cy="92075"/>
                          <a:chOff x="1055" y="15378"/>
                          <a:chExt cx="9763" cy="145"/>
                        </a:xfrm>
                      </wpg:grpSpPr>
                      <wps:wsp>
                        <wps:cNvPr id="7" name="任意多边形 7"/>
                        <wps:cNvSpPr/>
                        <wps:spPr>
                          <a:xfrm>
                            <a:off x="1055" y="15452"/>
                            <a:ext cx="9763" cy="71"/>
                          </a:xfrm>
                          <a:custGeom>
                            <a:avLst/>
                            <a:gdLst/>
                            <a:ahLst/>
                            <a:cxnLst/>
                            <a:rect l="0" t="0" r="0" b="0"/>
                            <a:pathLst>
                              <a:path w="9640">
                                <a:moveTo>
                                  <a:pt x="0" y="0"/>
                                </a:moveTo>
                                <a:lnTo>
                                  <a:pt x="9640" y="0"/>
                                </a:lnTo>
                              </a:path>
                            </a:pathLst>
                          </a:custGeom>
                          <a:noFill/>
                          <a:ln w="34290" cap="flat" cmpd="sng">
                            <a:solidFill>
                              <a:srgbClr val="FF0000"/>
                            </a:solidFill>
                            <a:prstDash val="solid"/>
                            <a:headEnd type="none" w="med" len="med"/>
                            <a:tailEnd type="none" w="med" len="med"/>
                          </a:ln>
                        </wps:spPr>
                        <wps:bodyPr upright="1"/>
                      </wps:wsp>
                      <wps:wsp>
                        <wps:cNvPr id="8" name="任意多边形 8"/>
                        <wps:cNvSpPr/>
                        <wps:spPr>
                          <a:xfrm>
                            <a:off x="1055" y="15378"/>
                            <a:ext cx="9763" cy="102"/>
                          </a:xfrm>
                          <a:custGeom>
                            <a:avLst/>
                            <a:gdLst/>
                            <a:ahLst/>
                            <a:cxnLst/>
                            <a:rect l="0" t="0" r="0" b="0"/>
                            <a:pathLst>
                              <a:path w="9640">
                                <a:moveTo>
                                  <a:pt x="0" y="0"/>
                                </a:moveTo>
                                <a:lnTo>
                                  <a:pt x="9640" y="0"/>
                                </a:lnTo>
                              </a:path>
                            </a:pathLst>
                          </a:custGeom>
                          <a:noFill/>
                          <a:ln w="1270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2.75pt;margin-top:768.9pt;height:7.25pt;width:488.15pt;z-index:-251656192;mso-width-relative:page;mso-height-relative:page;" coordorigin="1055,15378" coordsize="9763,145" o:gfxdata="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E4ZaunZAAAADgEAAA8AAAAAAAAAAQAgAAAAIgAAAGRycy9kb3ducmV2Lnht&#10;bFBLAQIUABQAAAAIAIdO4kBrfGSH3AIAAKQIAAAOAAAAAAAAAAEAIAAAACgBAABkcnMvZTJvRG9j&#10;LnhtbFBLBQYAAAAABgAGAFkBAAB2BgAAAAA=&#10;">
                <o:lock v:ext="edit" aspectratio="f"/>
                <v:shape id="_x0000_s1026" o:spid="_x0000_s1026" o:spt="100" style="position:absolute;left:1055;top:15452;height:71;width:9763;" filled="f" stroked="t" coordsize="9640,1" o:gfxdata="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aAv57sAAADa&#10;AAAADwAAAAAAAAABACAAAAAiAAAAZHJzL2Rvd25yZXYueG1sUEsBAhQAFAAAAAgAh07iQDMvBZ47&#10;AAAAOQAAABAAAAAAAAAAAQAgAAAACgEAAGRycy9zaGFwZXhtbC54bWxQSwUGAAAAAAYABgBbAQAA&#10;tAMAAAAA&#10;" path="m0,0l9640,0e">
                  <v:fill on="f" focussize="0,0"/>
                  <v:stroke weight="2.7pt" color="#FF0000" joinstyle="round"/>
                  <v:imagedata o:title=""/>
                  <o:lock v:ext="edit" aspectratio="f"/>
                </v:shape>
                <v:shape id="_x0000_s1026" o:spid="_x0000_s1026" o:spt="100" style="position:absolute;left:1055;top:15378;height:102;width:9763;" filled="f" stroked="t" coordsize="9640,1" o:gfxdata="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lgGrLUAAADaAAAADwAA&#10;AAAAAAABACAAAAAiAAAAZHJzL2Rvd25yZXYueG1sUEsBAhQAFAAAAAgAh07iQDMvBZ47AAAAOQAA&#10;ABAAAAAAAAAAAQAgAAAABAEAAGRycy9zaGFwZXhtbC54bWxQSwUGAAAAAAYABgBbAQAArgMAAAAA&#10;" path="m0,0l9640,0e">
                  <v:fill on="f" focussize="0,0"/>
                  <v:stroke weight="1pt" color="#FF0000" joinstyle="round"/>
                  <v:imagedata o:title=""/>
                  <o:lock v:ext="edit" aspectratio="f"/>
                </v:shape>
              </v:group>
            </w:pict>
          </mc:Fallback>
        </mc:AlternateContent>
      </w:r>
      <w:r>
        <w:rPr>
          <w:rFonts w:hint="eastAsia" w:ascii="黑体" w:hAnsi="黑体" w:eastAsia="黑体" w:cs="黑体"/>
          <w:sz w:val="32"/>
          <w:szCs w:val="32"/>
          <w:highlight w:val="none"/>
        </w:rPr>
        <mc:AlternateContent>
          <mc:Choice Requires="wpg">
            <w:drawing>
              <wp:anchor distT="0" distB="0" distL="114300" distR="114300" simplePos="0" relativeHeight="251663360" behindDoc="1" locked="0" layoutInCell="1" allowOverlap="1">
                <wp:simplePos x="0" y="0"/>
                <wp:positionH relativeFrom="column">
                  <wp:posOffset>669925</wp:posOffset>
                </wp:positionH>
                <wp:positionV relativeFrom="paragraph">
                  <wp:posOffset>9765030</wp:posOffset>
                </wp:positionV>
                <wp:extent cx="6199505" cy="92075"/>
                <wp:effectExtent l="0" t="6350" r="10795" b="0"/>
                <wp:wrapNone/>
                <wp:docPr id="18" name="组合 18"/>
                <wp:cNvGraphicFramePr/>
                <a:graphic xmlns:a="http://schemas.openxmlformats.org/drawingml/2006/main">
                  <a:graphicData uri="http://schemas.microsoft.com/office/word/2010/wordprocessingGroup">
                    <wpg:wgp>
                      <wpg:cNvGrpSpPr/>
                      <wpg:grpSpPr>
                        <a:xfrm>
                          <a:off x="0" y="0"/>
                          <a:ext cx="6199505" cy="92075"/>
                          <a:chOff x="1055" y="15378"/>
                          <a:chExt cx="9763" cy="145"/>
                        </a:xfrm>
                      </wpg:grpSpPr>
                      <wps:wsp>
                        <wps:cNvPr id="16" name="任意多边形 16"/>
                        <wps:cNvSpPr/>
                        <wps:spPr>
                          <a:xfrm>
                            <a:off x="1055" y="15452"/>
                            <a:ext cx="9763" cy="71"/>
                          </a:xfrm>
                          <a:custGeom>
                            <a:avLst/>
                            <a:gdLst/>
                            <a:ahLst/>
                            <a:cxnLst/>
                            <a:rect l="0" t="0" r="0" b="0"/>
                            <a:pathLst>
                              <a:path w="9640">
                                <a:moveTo>
                                  <a:pt x="0" y="0"/>
                                </a:moveTo>
                                <a:lnTo>
                                  <a:pt x="9640" y="0"/>
                                </a:lnTo>
                              </a:path>
                            </a:pathLst>
                          </a:custGeom>
                          <a:noFill/>
                          <a:ln w="34290" cap="flat" cmpd="sng">
                            <a:solidFill>
                              <a:srgbClr val="FF0000"/>
                            </a:solidFill>
                            <a:prstDash val="solid"/>
                            <a:headEnd type="none" w="med" len="med"/>
                            <a:tailEnd type="none" w="med" len="med"/>
                          </a:ln>
                        </wps:spPr>
                        <wps:bodyPr upright="1"/>
                      </wps:wsp>
                      <wps:wsp>
                        <wps:cNvPr id="17" name="任意多边形 17"/>
                        <wps:cNvSpPr/>
                        <wps:spPr>
                          <a:xfrm>
                            <a:off x="1055" y="15378"/>
                            <a:ext cx="9763" cy="102"/>
                          </a:xfrm>
                          <a:custGeom>
                            <a:avLst/>
                            <a:gdLst/>
                            <a:ahLst/>
                            <a:cxnLst/>
                            <a:rect l="0" t="0" r="0" b="0"/>
                            <a:pathLst>
                              <a:path w="9640">
                                <a:moveTo>
                                  <a:pt x="0" y="0"/>
                                </a:moveTo>
                                <a:lnTo>
                                  <a:pt x="9640" y="0"/>
                                </a:lnTo>
                              </a:path>
                            </a:pathLst>
                          </a:custGeom>
                          <a:noFill/>
                          <a:ln w="1270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2.75pt;margin-top:768.9pt;height:7.25pt;width:488.15pt;z-index:-251653120;mso-width-relative:page;mso-height-relative:page;" coordorigin="1055,15378" coordsize="9763,145" o:gfxdata="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BOGWrp2QAAAA4BAAAPAAAAAAAAAAEAIAAAACIAAABkcnMvZG93bnJldi54&#10;bWxQSwECFAAUAAAACACHTuJA10+ETt0CAACqCAAADgAAAAAAAAABACAAAAAoAQAAZHJzL2Uyb0Rv&#10;Yy54bWxQSwUGAAAAAAYABgBZAQAAdwYAAAAA&#10;">
                <o:lock v:ext="edit" aspectratio="f"/>
                <v:shape id="_x0000_s1026" o:spid="_x0000_s1026" o:spt="100" style="position:absolute;left:1055;top:15452;height:71;width:9763;" filled="f" stroked="t" coordsize="9640,1" o:gfxdata="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1Ia+25AAAA2wAA&#10;AA8AAAAAAAAAAQAgAAAAIgAAAGRycy9kb3ducmV2LnhtbFBLAQIUABQAAAAIAIdO4kAzLwWeOwAA&#10;ADkAAAAQAAAAAAAAAAEAIAAAAAgBAABkcnMvc2hhcGV4bWwueG1sUEsFBgAAAAAGAAYAWwEAALID&#10;AAAAAA==&#10;" path="m0,0l9640,0e">
                  <v:fill on="f" focussize="0,0"/>
                  <v:stroke weight="2.7pt" color="#FF0000" joinstyle="round"/>
                  <v:imagedata o:title=""/>
                  <o:lock v:ext="edit" aspectratio="f"/>
                </v:shape>
                <v:shape id="_x0000_s1026" o:spid="_x0000_s1026" o:spt="100" style="position:absolute;left:1055;top:15378;height:102;width:9763;" filled="f" stroked="t" coordsize="9640,1" o:gfxdata="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oT4jLgAAADbAAAA&#10;DwAAAAAAAAABACAAAAAiAAAAZHJzL2Rvd25yZXYueG1sUEsBAhQAFAAAAAgAh07iQDMvBZ47AAAA&#10;OQAAABAAAAAAAAAAAQAgAAAABwEAAGRycy9zaGFwZXhtbC54bWxQSwUGAAAAAAYABgBbAQAAsQMA&#10;AAAA&#10;" path="m0,0l9640,0e">
                  <v:fill on="f" focussize="0,0"/>
                  <v:stroke weight="1pt" color="#FF0000" joinstyle="round"/>
                  <v:imagedata o:title=""/>
                  <o:lock v:ext="edit" aspectratio="f"/>
                </v:shape>
              </v:group>
            </w:pict>
          </mc:Fallback>
        </mc:AlternateContent>
      </w:r>
      <w:r>
        <w:rPr>
          <w:rFonts w:hint="eastAsia" w:ascii="黑体" w:hAnsi="黑体" w:eastAsia="黑体" w:cs="黑体"/>
          <w:sz w:val="32"/>
          <w:szCs w:val="32"/>
          <w:highlight w:val="none"/>
        </w:rPr>
        <mc:AlternateContent>
          <mc:Choice Requires="wpg">
            <w:drawing>
              <wp:anchor distT="0" distB="0" distL="114300" distR="114300" simplePos="0" relativeHeight="251662336" behindDoc="1" locked="0" layoutInCell="1" allowOverlap="1">
                <wp:simplePos x="0" y="0"/>
                <wp:positionH relativeFrom="column">
                  <wp:posOffset>669925</wp:posOffset>
                </wp:positionH>
                <wp:positionV relativeFrom="paragraph">
                  <wp:posOffset>9765030</wp:posOffset>
                </wp:positionV>
                <wp:extent cx="6199505" cy="92075"/>
                <wp:effectExtent l="0" t="6350" r="10795" b="0"/>
                <wp:wrapNone/>
                <wp:docPr id="15" name="组合 15"/>
                <wp:cNvGraphicFramePr/>
                <a:graphic xmlns:a="http://schemas.openxmlformats.org/drawingml/2006/main">
                  <a:graphicData uri="http://schemas.microsoft.com/office/word/2010/wordprocessingGroup">
                    <wpg:wgp>
                      <wpg:cNvGrpSpPr/>
                      <wpg:grpSpPr>
                        <a:xfrm>
                          <a:off x="0" y="0"/>
                          <a:ext cx="6199505" cy="92075"/>
                          <a:chOff x="1055" y="15378"/>
                          <a:chExt cx="9763" cy="145"/>
                        </a:xfrm>
                      </wpg:grpSpPr>
                      <wps:wsp>
                        <wps:cNvPr id="13" name="任意多边形 13"/>
                        <wps:cNvSpPr/>
                        <wps:spPr>
                          <a:xfrm>
                            <a:off x="1055" y="15452"/>
                            <a:ext cx="9763" cy="71"/>
                          </a:xfrm>
                          <a:custGeom>
                            <a:avLst/>
                            <a:gdLst/>
                            <a:ahLst/>
                            <a:cxnLst/>
                            <a:rect l="0" t="0" r="0" b="0"/>
                            <a:pathLst>
                              <a:path w="9640">
                                <a:moveTo>
                                  <a:pt x="0" y="0"/>
                                </a:moveTo>
                                <a:lnTo>
                                  <a:pt x="9640" y="0"/>
                                </a:lnTo>
                              </a:path>
                            </a:pathLst>
                          </a:custGeom>
                          <a:noFill/>
                          <a:ln w="34290" cap="flat" cmpd="sng">
                            <a:solidFill>
                              <a:srgbClr val="FF0000"/>
                            </a:solidFill>
                            <a:prstDash val="solid"/>
                            <a:headEnd type="none" w="med" len="med"/>
                            <a:tailEnd type="none" w="med" len="med"/>
                          </a:ln>
                        </wps:spPr>
                        <wps:bodyPr upright="1"/>
                      </wps:wsp>
                      <wps:wsp>
                        <wps:cNvPr id="14" name="任意多边形 14"/>
                        <wps:cNvSpPr/>
                        <wps:spPr>
                          <a:xfrm>
                            <a:off x="1055" y="15378"/>
                            <a:ext cx="9763" cy="102"/>
                          </a:xfrm>
                          <a:custGeom>
                            <a:avLst/>
                            <a:gdLst/>
                            <a:ahLst/>
                            <a:cxnLst/>
                            <a:rect l="0" t="0" r="0" b="0"/>
                            <a:pathLst>
                              <a:path w="9640">
                                <a:moveTo>
                                  <a:pt x="0" y="0"/>
                                </a:moveTo>
                                <a:lnTo>
                                  <a:pt x="9640" y="0"/>
                                </a:lnTo>
                              </a:path>
                            </a:pathLst>
                          </a:custGeom>
                          <a:noFill/>
                          <a:ln w="1270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2.75pt;margin-top:768.9pt;height:7.25pt;width:488.15pt;z-index:-251654144;mso-width-relative:page;mso-height-relative:page;" coordorigin="1055,15378" coordsize="9763,145" o:gfxdata="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E4ZaunZAAAADgEAAA8AAAAAAAAAAQAgAAAAIgAAAGRycy9kb3ducmV2Lnht&#10;bFBLAQIUABQAAAAIAIdO4kCzSh1m3AIAAKoIAAAOAAAAAAAAAAEAIAAAACgBAABkcnMvZTJvRG9j&#10;LnhtbFBLBQYAAAAABgAGAFkBAAB2BgAAAAA=&#10;">
                <o:lock v:ext="edit" aspectratio="f"/>
                <v:shape id="_x0000_s1026" o:spid="_x0000_s1026" o:spt="100" style="position:absolute;left:1055;top:15452;height:71;width:9763;" filled="f" stroked="t" coordsize="9640,1" o:gfxdata="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0/yHW5AAAA2wAA&#10;AA8AAAAAAAAAAQAgAAAAIgAAAGRycy9kb3ducmV2LnhtbFBLAQIUABQAAAAIAIdO4kAzLwWeOwAA&#10;ADkAAAAQAAAAAAAAAAEAIAAAAAgBAABkcnMvc2hhcGV4bWwueG1sUEsFBgAAAAAGAAYAWwEAALID&#10;AAAAAA==&#10;" path="m0,0l9640,0e">
                  <v:fill on="f" focussize="0,0"/>
                  <v:stroke weight="2.7pt" color="#FF0000" joinstyle="round"/>
                  <v:imagedata o:title=""/>
                  <o:lock v:ext="edit" aspectratio="f"/>
                </v:shape>
                <v:shape id="_x0000_s1026" o:spid="_x0000_s1026" o:spt="100" style="position:absolute;left:1055;top:15378;height:102;width:9763;" filled="f" stroked="t" coordsize="9640,1" o:gfxdata="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lZm+7gAAADbAAAA&#10;DwAAAAAAAAABACAAAAAiAAAAZHJzL2Rvd25yZXYueG1sUEsBAhQAFAAAAAgAh07iQDMvBZ47AAAA&#10;OQAAABAAAAAAAAAAAQAgAAAABwEAAGRycy9zaGFwZXhtbC54bWxQSwUGAAAAAAYABgBbAQAAsQMA&#10;AAAA&#10;" path="m0,0l9640,0e">
                  <v:fill on="f" focussize="0,0"/>
                  <v:stroke weight="1pt" color="#FF0000" joinstyle="round"/>
                  <v:imagedata o:title=""/>
                  <o:lock v:ext="edit" aspectratio="f"/>
                </v:shape>
              </v:group>
            </w:pict>
          </mc:Fallback>
        </mc:AlternateContent>
      </w:r>
      <w:r>
        <w:rPr>
          <w:rFonts w:hint="eastAsia" w:ascii="黑体" w:hAnsi="黑体" w:eastAsia="黑体" w:cs="黑体"/>
          <w:sz w:val="32"/>
          <w:szCs w:val="32"/>
          <w:highlight w:val="none"/>
        </w:rPr>
        <mc:AlternateContent>
          <mc:Choice Requires="wpg">
            <w:drawing>
              <wp:anchor distT="0" distB="0" distL="114300" distR="114300" simplePos="0" relativeHeight="251659264" behindDoc="1" locked="0" layoutInCell="1" allowOverlap="1">
                <wp:simplePos x="0" y="0"/>
                <wp:positionH relativeFrom="column">
                  <wp:posOffset>669925</wp:posOffset>
                </wp:positionH>
                <wp:positionV relativeFrom="paragraph">
                  <wp:posOffset>9765030</wp:posOffset>
                </wp:positionV>
                <wp:extent cx="6199505" cy="92075"/>
                <wp:effectExtent l="0" t="6350" r="10795" b="0"/>
                <wp:wrapNone/>
                <wp:docPr id="6" name="组合 6"/>
                <wp:cNvGraphicFramePr/>
                <a:graphic xmlns:a="http://schemas.openxmlformats.org/drawingml/2006/main">
                  <a:graphicData uri="http://schemas.microsoft.com/office/word/2010/wordprocessingGroup">
                    <wpg:wgp>
                      <wpg:cNvGrpSpPr/>
                      <wpg:grpSpPr>
                        <a:xfrm>
                          <a:off x="0" y="0"/>
                          <a:ext cx="6199505" cy="92075"/>
                          <a:chOff x="1055" y="15378"/>
                          <a:chExt cx="9763" cy="145"/>
                        </a:xfrm>
                      </wpg:grpSpPr>
                      <wps:wsp>
                        <wps:cNvPr id="4" name="任意多边形 4"/>
                        <wps:cNvSpPr/>
                        <wps:spPr>
                          <a:xfrm>
                            <a:off x="1055" y="15452"/>
                            <a:ext cx="9763" cy="71"/>
                          </a:xfrm>
                          <a:custGeom>
                            <a:avLst/>
                            <a:gdLst/>
                            <a:ahLst/>
                            <a:cxnLst/>
                            <a:rect l="0" t="0" r="0" b="0"/>
                            <a:pathLst>
                              <a:path w="9640">
                                <a:moveTo>
                                  <a:pt x="0" y="0"/>
                                </a:moveTo>
                                <a:lnTo>
                                  <a:pt x="9640" y="0"/>
                                </a:lnTo>
                              </a:path>
                            </a:pathLst>
                          </a:custGeom>
                          <a:noFill/>
                          <a:ln w="34290" cap="flat" cmpd="sng">
                            <a:solidFill>
                              <a:srgbClr val="FF0000"/>
                            </a:solidFill>
                            <a:prstDash val="solid"/>
                            <a:headEnd type="none" w="med" len="med"/>
                            <a:tailEnd type="none" w="med" len="med"/>
                          </a:ln>
                        </wps:spPr>
                        <wps:bodyPr upright="1"/>
                      </wps:wsp>
                      <wps:wsp>
                        <wps:cNvPr id="5" name="任意多边形 5"/>
                        <wps:cNvSpPr/>
                        <wps:spPr>
                          <a:xfrm>
                            <a:off x="1055" y="15378"/>
                            <a:ext cx="9763" cy="102"/>
                          </a:xfrm>
                          <a:custGeom>
                            <a:avLst/>
                            <a:gdLst/>
                            <a:ahLst/>
                            <a:cxnLst/>
                            <a:rect l="0" t="0" r="0" b="0"/>
                            <a:pathLst>
                              <a:path w="9640">
                                <a:moveTo>
                                  <a:pt x="0" y="0"/>
                                </a:moveTo>
                                <a:lnTo>
                                  <a:pt x="9640" y="0"/>
                                </a:lnTo>
                              </a:path>
                            </a:pathLst>
                          </a:custGeom>
                          <a:noFill/>
                          <a:ln w="1270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2.75pt;margin-top:768.9pt;height:7.25pt;width:488.15pt;z-index:-251657216;mso-width-relative:page;mso-height-relative:page;" coordorigin="1055,15378" coordsize="9763,145" o:gfxdata="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Thlq6dkAAAAOAQAADwAAAAAAAAABACAAAAAiAAAAZHJzL2Rvd25yZXYueG1s&#10;UEsBAhQAFAAAAAgAh07iQEhz7nrbAgAApAgAAA4AAAAAAAAAAQAgAAAAKAEAAGRycy9lMm9Eb2Mu&#10;eG1sUEsFBgAAAAAGAAYAWQEAAHUGAAAAAA==&#10;">
                <o:lock v:ext="edit" aspectratio="f"/>
                <v:shape id="_x0000_s1026" o:spid="_x0000_s1026" o:spt="100" style="position:absolute;left:1055;top:15452;height:71;width:9763;" filled="f" stroked="t" coordsize="9640,1" o:gfxdata="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XKxkLsAAADa&#10;AAAADwAAAAAAAAABACAAAAAiAAAAZHJzL2Rvd25yZXYueG1sUEsBAhQAFAAAAAgAh07iQDMvBZ47&#10;AAAAOQAAABAAAAAAAAAAAQAgAAAACgEAAGRycy9zaGFwZXhtbC54bWxQSwUGAAAAAAYABgBbAQAA&#10;tAMAAAAA&#10;" path="m0,0l9640,0e">
                  <v:fill on="f" focussize="0,0"/>
                  <v:stroke weight="2.7pt" color="#FF0000" joinstyle="round"/>
                  <v:imagedata o:title=""/>
                  <o:lock v:ext="edit" aspectratio="f"/>
                </v:shape>
                <v:shape id="_x0000_s1026" o:spid="_x0000_s1026" o:spt="100" style="position:absolute;left:1055;top:15378;height:102;width:9763;" filled="f" stroked="t" coordsize="9640,1" o:gfxdata="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WakyugAAANoA&#10;AAAPAAAAAAAAAAEAIAAAACIAAABkcnMvZG93bnJldi54bWxQSwECFAAUAAAACACHTuJAMy8FnjsA&#10;AAA5AAAAEAAAAAAAAAABACAAAAAJAQAAZHJzL3NoYXBleG1sLnhtbFBLBQYAAAAABgAGAFsBAACz&#10;AwAAAAA=&#10;" path="m0,0l9640,0e">
                  <v:fill on="f" focussize="0,0"/>
                  <v:stroke weight="1pt" color="#FF0000" joinstyle="round"/>
                  <v:imagedata o:title=""/>
                  <o:lock v:ext="edit" aspectratio="f"/>
                </v:shape>
              </v:group>
            </w:pict>
          </mc:Fallback>
        </mc:AlternateContent>
      </w:r>
      <w:r>
        <w:rPr>
          <w:rFonts w:hint="eastAsia" w:ascii="黑体" w:hAnsi="黑体" w:eastAsia="黑体" w:cs="黑体"/>
          <w:sz w:val="32"/>
          <w:szCs w:val="32"/>
          <w:highlight w:val="none"/>
          <w:lang w:eastAsia="zh-CN"/>
        </w:rPr>
        <w:t>公开方式：</w:t>
      </w:r>
      <w:r>
        <w:rPr>
          <w:rFonts w:hint="eastAsia" w:ascii="仿宋" w:hAnsi="仿宋" w:eastAsia="仿宋" w:cs="仿宋"/>
          <w:sz w:val="32"/>
          <w:szCs w:val="32"/>
          <w:highlight w:val="none"/>
          <w:lang w:eastAsia="zh-CN"/>
        </w:rPr>
        <w:t>主动公开</w:t>
      </w:r>
    </w:p>
    <w:p>
      <w:pPr>
        <w:pStyle w:val="2"/>
        <w:spacing w:after="0" w:line="580" w:lineRule="exact"/>
        <w:ind w:left="0" w:leftChars="0" w:firstLine="0" w:firstLineChars="0"/>
        <w:rPr>
          <w:rFonts w:hint="default" w:ascii="仿宋" w:hAnsi="仿宋" w:eastAsia="仿宋" w:cs="仿宋"/>
          <w:sz w:val="28"/>
          <w:szCs w:val="28"/>
          <w:highlight w:val="none"/>
          <w:u w:val="single"/>
        </w:rPr>
      </w:pPr>
      <w:r>
        <w:rPr>
          <w:rFonts w:hint="eastAsia" w:ascii="仿宋" w:hAnsi="仿宋" w:eastAsia="仿宋" w:cs="仿宋"/>
          <w:sz w:val="28"/>
          <w:szCs w:val="28"/>
          <w:highlight w:val="none"/>
          <w:u w:val="single"/>
          <w:lang w:val="en-US" w:eastAsia="zh-CN"/>
        </w:rPr>
        <w:t xml:space="preserve">                                                                  </w:t>
      </w:r>
    </w:p>
    <w:p>
      <w:pPr>
        <w:pStyle w:val="2"/>
        <w:spacing w:after="0" w:line="580" w:lineRule="exact"/>
        <w:ind w:left="0" w:leftChars="0" w:firstLine="0" w:firstLineChars="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广东省应急管理厅办公室</w:t>
      </w:r>
      <w:r>
        <w:rPr>
          <w:rFonts w:hint="eastAsia" w:ascii="仿宋" w:hAnsi="仿宋" w:eastAsia="仿宋" w:cs="仿宋"/>
          <w:sz w:val="28"/>
          <w:szCs w:val="28"/>
          <w:highlight w:val="none"/>
          <w:lang w:val="en-US" w:eastAsia="zh-CN"/>
        </w:rPr>
        <w:t xml:space="preserve">                 2022年4月29日印发</w:t>
      </w:r>
    </w:p>
    <w:p>
      <w:pPr>
        <w:pStyle w:val="2"/>
        <w:spacing w:after="0" w:line="80" w:lineRule="exact"/>
        <w:ind w:left="0" w:leftChars="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p>
    <w:p>
      <w:pPr>
        <w:pStyle w:val="2"/>
        <w:spacing w:after="0" w:line="580" w:lineRule="exact"/>
        <w:ind w:left="0" w:leftChars="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校对责任人：执法工贸处李勇辉、任靓</w:t>
      </w:r>
    </w:p>
    <w:sectPr>
      <w:footerReference r:id="rId4" w:type="default"/>
      <w:pgSz w:w="11906" w:h="16838"/>
      <w:pgMar w:top="1984" w:right="1531" w:bottom="1984" w:left="1531" w:header="851" w:footer="1276" w:gutter="0"/>
      <w:pgNumType w:fmt="decimal"/>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1AD351-F033-444A-B719-5ADBA2B86C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5E25C3A-387E-4028-B571-AD2AEB2CD570}"/>
  </w:font>
  <w:font w:name="仿宋">
    <w:panose1 w:val="02010609060101010101"/>
    <w:charset w:val="86"/>
    <w:family w:val="modern"/>
    <w:pitch w:val="default"/>
    <w:sig w:usb0="800002BF" w:usb1="38CF7CFA" w:usb2="00000016" w:usb3="00000000" w:csb0="00040001" w:csb1="00000000"/>
    <w:embedRegular r:id="rId3" w:fontKey="{B3016090-2A37-4863-B1C8-377FED726AE5}"/>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64B6027D-5D9C-46AE-AB49-BAC23592255D}"/>
  </w:font>
  <w:font w:name="FZXBSJW--GB1-0">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5" w:fontKey="{61B2D164-BFA3-410A-8F9E-FEEBA4A20F8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2CF985"/>
    <w:multiLevelType w:val="singleLevel"/>
    <w:tmpl w:val="3A2CF985"/>
    <w:lvl w:ilvl="0" w:tentative="0">
      <w:start w:val="3"/>
      <w:numFmt w:val="chineseCounting"/>
      <w:suff w:val="space"/>
      <w:lvlText w:val="第%1章"/>
      <w:lvlJc w:val="left"/>
      <w:rPr>
        <w:rFonts w:hint="eastAsia"/>
      </w:rPr>
    </w:lvl>
  </w:abstractNum>
  <w:abstractNum w:abstractNumId="1">
    <w:nsid w:val="59F2DCC4"/>
    <w:multiLevelType w:val="singleLevel"/>
    <w:tmpl w:val="59F2DCC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lZjJkYWI1YmJkMTg0YmQ4YTk4NTBkOWNmNGRkOTQifQ=="/>
  </w:docVars>
  <w:rsids>
    <w:rsidRoot w:val="11206F47"/>
    <w:rsid w:val="005B6575"/>
    <w:rsid w:val="00A8438C"/>
    <w:rsid w:val="00C22687"/>
    <w:rsid w:val="00CB7400"/>
    <w:rsid w:val="03965D9E"/>
    <w:rsid w:val="04005AAF"/>
    <w:rsid w:val="0A8250D2"/>
    <w:rsid w:val="0B7FAC44"/>
    <w:rsid w:val="0DB2791A"/>
    <w:rsid w:val="0E155595"/>
    <w:rsid w:val="11206F47"/>
    <w:rsid w:val="12437E7F"/>
    <w:rsid w:val="187A190C"/>
    <w:rsid w:val="1DF20DA3"/>
    <w:rsid w:val="1E0C21C4"/>
    <w:rsid w:val="1F7FCBCF"/>
    <w:rsid w:val="21AB24FE"/>
    <w:rsid w:val="25F7A50D"/>
    <w:rsid w:val="28C82399"/>
    <w:rsid w:val="2A0F7B6B"/>
    <w:rsid w:val="2AB0680E"/>
    <w:rsid w:val="2B53771B"/>
    <w:rsid w:val="2CDC3CDC"/>
    <w:rsid w:val="31EC58A6"/>
    <w:rsid w:val="35DE30FC"/>
    <w:rsid w:val="38EF6E8F"/>
    <w:rsid w:val="39037238"/>
    <w:rsid w:val="3B934830"/>
    <w:rsid w:val="3BBC844F"/>
    <w:rsid w:val="3D9F7F26"/>
    <w:rsid w:val="3E339DE4"/>
    <w:rsid w:val="3EBF68F0"/>
    <w:rsid w:val="3F5C53E4"/>
    <w:rsid w:val="3F9C0B4E"/>
    <w:rsid w:val="3FEF2430"/>
    <w:rsid w:val="41FD5233"/>
    <w:rsid w:val="43533DEB"/>
    <w:rsid w:val="45CE62B8"/>
    <w:rsid w:val="471C0684"/>
    <w:rsid w:val="47335144"/>
    <w:rsid w:val="49191189"/>
    <w:rsid w:val="4E0E481D"/>
    <w:rsid w:val="4FEC14A3"/>
    <w:rsid w:val="51A95008"/>
    <w:rsid w:val="51F46FF8"/>
    <w:rsid w:val="547A3809"/>
    <w:rsid w:val="56B456CC"/>
    <w:rsid w:val="578D2BBE"/>
    <w:rsid w:val="579FCB2C"/>
    <w:rsid w:val="5A897A3B"/>
    <w:rsid w:val="5BEBB22F"/>
    <w:rsid w:val="5C7FC9E6"/>
    <w:rsid w:val="5DFEAA5A"/>
    <w:rsid w:val="5FBB2C74"/>
    <w:rsid w:val="5FEE3580"/>
    <w:rsid w:val="62C81D9D"/>
    <w:rsid w:val="638968D3"/>
    <w:rsid w:val="63D4965F"/>
    <w:rsid w:val="65F3BD34"/>
    <w:rsid w:val="65FEE7F6"/>
    <w:rsid w:val="66137F22"/>
    <w:rsid w:val="690629BC"/>
    <w:rsid w:val="6BBF4AE3"/>
    <w:rsid w:val="6C676023"/>
    <w:rsid w:val="6DA638A4"/>
    <w:rsid w:val="6FFFAFD5"/>
    <w:rsid w:val="709C3737"/>
    <w:rsid w:val="71EBB6FE"/>
    <w:rsid w:val="72CD2210"/>
    <w:rsid w:val="74157EDB"/>
    <w:rsid w:val="752B0A82"/>
    <w:rsid w:val="76521CCD"/>
    <w:rsid w:val="767F7AEF"/>
    <w:rsid w:val="77231060"/>
    <w:rsid w:val="777A358C"/>
    <w:rsid w:val="77F9E041"/>
    <w:rsid w:val="77FD36A7"/>
    <w:rsid w:val="786E54E4"/>
    <w:rsid w:val="7AC64974"/>
    <w:rsid w:val="7BBDE159"/>
    <w:rsid w:val="7BD1492C"/>
    <w:rsid w:val="7BEBB8BF"/>
    <w:rsid w:val="7BF566BD"/>
    <w:rsid w:val="7D565794"/>
    <w:rsid w:val="7DA58E82"/>
    <w:rsid w:val="7DDAB919"/>
    <w:rsid w:val="7DDB8D23"/>
    <w:rsid w:val="7F6C3F2B"/>
    <w:rsid w:val="7F7BF3A5"/>
    <w:rsid w:val="7F9673AB"/>
    <w:rsid w:val="7F9D01A3"/>
    <w:rsid w:val="7FDFC5A7"/>
    <w:rsid w:val="7FF5AFDF"/>
    <w:rsid w:val="7FF72FB4"/>
    <w:rsid w:val="8F7FA3E7"/>
    <w:rsid w:val="9DFFFF5E"/>
    <w:rsid w:val="9F7717F5"/>
    <w:rsid w:val="AA71E764"/>
    <w:rsid w:val="AFB5221A"/>
    <w:rsid w:val="B71F6F37"/>
    <w:rsid w:val="BAAFFBEF"/>
    <w:rsid w:val="BDFA157D"/>
    <w:rsid w:val="BDFF7F65"/>
    <w:rsid w:val="BF776DB7"/>
    <w:rsid w:val="BFDF9122"/>
    <w:rsid w:val="CAF38614"/>
    <w:rsid w:val="D2F3CCFD"/>
    <w:rsid w:val="D7DB18D0"/>
    <w:rsid w:val="DE6DCB8F"/>
    <w:rsid w:val="DF2B07A8"/>
    <w:rsid w:val="EFDF6CA6"/>
    <w:rsid w:val="EFF13DD1"/>
    <w:rsid w:val="EFFD3E62"/>
    <w:rsid w:val="F2632E9B"/>
    <w:rsid w:val="F7D39A9E"/>
    <w:rsid w:val="F8FD41B9"/>
    <w:rsid w:val="F97BBBF8"/>
    <w:rsid w:val="FA6FAE2A"/>
    <w:rsid w:val="FBBA0800"/>
    <w:rsid w:val="FBEA7EF5"/>
    <w:rsid w:val="FCFBDDE9"/>
    <w:rsid w:val="FDFF1AE0"/>
    <w:rsid w:val="FEB72412"/>
    <w:rsid w:val="FF634E56"/>
    <w:rsid w:val="FF7F3507"/>
    <w:rsid w:val="FF9D1289"/>
    <w:rsid w:val="FF9EF8C5"/>
    <w:rsid w:val="FF9F8B06"/>
    <w:rsid w:val="FFFE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0"/>
    <w:pPr>
      <w:ind w:firstLine="420" w:firstLineChars="200"/>
    </w:pPr>
  </w:style>
  <w:style w:type="paragraph" w:styleId="3">
    <w:name w:val="Body Text Indent"/>
    <w:basedOn w:val="1"/>
    <w:autoRedefine/>
    <w:unhideWhenUsed/>
    <w:qFormat/>
    <w:uiPriority w:val="99"/>
    <w:pPr>
      <w:spacing w:after="120"/>
      <w:ind w:left="420" w:leftChars="200"/>
    </w:pPr>
  </w:style>
  <w:style w:type="paragraph" w:styleId="4">
    <w:name w:val="Body Text"/>
    <w:basedOn w:val="1"/>
    <w:autoRedefine/>
    <w:qFormat/>
    <w:uiPriority w:val="0"/>
    <w:pPr>
      <w:spacing w:after="120" w:afterAutospacing="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qFormat/>
    <w:uiPriority w:val="0"/>
    <w:rPr>
      <w:color w:val="0000FF"/>
      <w:u w:val="single"/>
    </w:rPr>
  </w:style>
  <w:style w:type="character" w:customStyle="1" w:styleId="12">
    <w:name w:val="fontstyle01"/>
    <w:basedOn w:val="10"/>
    <w:qFormat/>
    <w:uiPriority w:val="0"/>
    <w:rPr>
      <w:rFonts w:ascii="FZXBSJW--GB1-0" w:hAnsi="FZXBSJW--GB1-0" w:eastAsia="FZXBSJW--GB1-0" w:cs="FZXBSJW--GB1-0"/>
      <w:color w:val="000000"/>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home\user\C:\home\user\C:\home\user\C:\home\user\C:\Users\hp\AppData\Local\Temp\oaassist\d661c3a972dfd4cff17713c98dd44344c182147d\OAAssist_Temp_&#24191;&#19996;&#30465;&#24212;&#24613;&#31649;&#29702;&#21381;&#20851;&#20110;&#25552;&#35831;&#23457;&#26597;&#12298;&#24191;&#19996;&#30465;&#24212;&#24613;&#31649;&#29702;&#21381;&#23433;&#20840;&#29983;&#20135;&#36164;&#26684;&#32771;&#35797;&#19982;&#35777;&#20070;&#31649;&#29702;&#23454;&#26045;&#32454;&#21017;&#12299;&#21450;&#19977;&#39033;&#37197;&#22871;&#21046;&#24230;&#30340;&#209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OAAssist_Temp_广东省应急管理厅关于提请审查《广东省应急管理厅安全生产资格考试与证书管理实施细则》及三项配套制度的函.docx</Template>
  <Company>省安全生产监督管理局</Company>
  <Pages>2</Pages>
  <Words>730</Words>
  <Characters>776</Characters>
  <Lines>1</Lines>
  <Paragraphs>30</Paragraphs>
  <TotalTime>13</TotalTime>
  <ScaleCrop>false</ScaleCrop>
  <LinksUpToDate>false</LinksUpToDate>
  <CharactersWithSpaces>844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2020-03-15T00:25:00Z</dcterms:created>
  <dc:creator>张惠敏</dc:creator>
  <cp:lastModifiedBy>ZLH</cp:lastModifiedBy>
  <cp:lastPrinted>2022-05-06T01:46:00Z</cp:lastPrinted>
  <dcterms:modified xsi:type="dcterms:W3CDTF">2024-02-19T09:23:46Z</dcterms:modified>
  <dc:title>广东省应急管理厅</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075bg5hjfqajk90mqk6up3</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i4>37742</vt:i4>
  </property>
  <property fmtid="{D5CDD505-2E9C-101B-9397-08002B2CF9AE}" pid="9" name="cp_itemType">
    <vt:lpwstr>missive</vt:lpwstr>
  </property>
  <property fmtid="{D5CDD505-2E9C-101B-9397-08002B2CF9AE}" pid="10" name="cp_title">
    <vt:lpwstr>广东省应急管理厅关于提请审查《广东省应急管理厅安全生产资格考试与证书管理实施细则》及三项配套制度的函</vt:lpwstr>
  </property>
  <property fmtid="{D5CDD505-2E9C-101B-9397-08002B2CF9AE}" pid="11" name="docPrint">
    <vt:i4>1</vt:i4>
  </property>
  <property fmtid="{D5CDD505-2E9C-101B-9397-08002B2CF9AE}" pid="12" name="docSaveAs">
    <vt:i4>1</vt:i4>
  </property>
  <property fmtid="{D5CDD505-2E9C-101B-9397-08002B2CF9AE}" pid="13" name="hideWpsMarks">
    <vt:i4>1</vt:i4>
  </property>
  <property fmtid="{D5CDD505-2E9C-101B-9397-08002B2CF9AE}" pid="14" name="openType">
    <vt:lpwstr>1</vt:lpwstr>
  </property>
  <property fmtid="{D5CDD505-2E9C-101B-9397-08002B2CF9AE}" pid="15" name="openFlag">
    <vt:bool>true</vt:bool>
  </property>
  <property fmtid="{D5CDD505-2E9C-101B-9397-08002B2CF9AE}" pid="16" name="showButton">
    <vt:lpwstr>WPSExtOfficeTab;btnShowRevision;btnUploadOA;btnSaveAsLocal;btnInsertRedHeader</vt:lpwstr>
  </property>
  <property fmtid="{D5CDD505-2E9C-101B-9397-08002B2CF9AE}" pid="17" name="uploadPath">
    <vt:lpwstr>http://xtbgsafe.gdzwfw.gov.cn/yjtoa/instance-web/minstone/wfDocBody/saveDocBodyWps?flowInid=37742&amp;stepInco=702665&amp;dealIndx=0&amp;openType=1&amp;flowId=140&amp;stepCode=56&amp;readOnly=0&amp;curUserCode=13610183743&amp;sysCode=MD_YJT_OA&amp;tenantCode=GDSXXZX&amp;r=0.631519215706027&amp;fileCode=60b531156cfe492c8d570c6d8dfb1fbe&amp;id=60b531156cfe492c8d570c6d8dfb1fbe&amp;docTempCode=&amp;userUuid=4a21c71db08e4d8cae2f9cece3c89b88</vt:lpwstr>
  </property>
  <property fmtid="{D5CDD505-2E9C-101B-9397-08002B2CF9AE}" pid="18" name="urlParams">
    <vt:lpwstr>flowInid=37742&amp;stepInco=702665&amp;dealIndx=0&amp;openType=1&amp;flowId=140&amp;stepCode=56&amp;readOnly=0&amp;curUserCode=13610183743&amp;sysCode=MD_YJT_OA&amp;tenantCode=GDSXXZX&amp;r=0.631519215706027&amp;fileCode=60b531156cfe492c8d570c6d8dfb1fbe&amp;id=60b531156cfe492c8d570c6d8dfb1fbe&amp;docTempCode=&amp;userUuid=4a21c71db08e4d8cae2f9cece3c89b88</vt:lpwstr>
  </property>
  <property fmtid="{D5CDD505-2E9C-101B-9397-08002B2CF9AE}" pid="19" name="lockDocUrl">
    <vt:lpwstr>http://xtbgsafe.gdzwfw.gov.cn/yjtoa/instance-web/minstone/wfDocBody/getLockInfo?flowInid=37742&amp;stepInco=702665&amp;dealIndx=0&amp;openType=1&amp;flowId=140&amp;stepCode=56&amp;readOnly=0&amp;curUserCode=13610183743&amp;sysCode=MD_YJT_OA&amp;tenantCode=GDSXXZX&amp;r=0.631519215706027&amp;fileCode=60b531156cfe492c8d570c6d8dfb1fbe&amp;id=60b531156cfe492c8d570c6d8dfb1fbe&amp;docTempCode=&amp;userUuid=4a21c71db08e4d8cae2f9cece3c89b88</vt:lpwstr>
  </property>
  <property fmtid="{D5CDD505-2E9C-101B-9397-08002B2CF9AE}" pid="20" name="copyUrl">
    <vt:lpwstr>http://xtbgsafe.gdzwfw.gov.cn/yjtoa/instance-web/minstone/wfDocBody/copyDoc?flowInid=37742&amp;stepInco=702665&amp;dealIndx=0&amp;openType=1&amp;flowId=140&amp;stepCode=56&amp;readOnly=0&amp;curUserCode=13610183743&amp;sysCode=MD_YJT_OA&amp;tenantCode=GDSXXZX&amp;r=0.631519215706027&amp;fileCode=60b531156cfe492c8d570c6d8dfb1fbe&amp;id=60b531156cfe492c8d570c6d8dfb1fbe&amp;docTempCode=&amp;userUuid=4a21c71db08e4d8cae2f9cece3c89b88</vt:lpwstr>
  </property>
  <property fmtid="{D5CDD505-2E9C-101B-9397-08002B2CF9AE}" pid="21" name="unLockDocurl">
    <vt:lpwstr>http://xtbgsafe.gdzwfw.gov.cn/yjtoa/instance-web/minstone/wfDocBody/unLockDoc?flowInid=37742&amp;stepInco=702665&amp;dealIndx=0&amp;openType=1&amp;flowId=140&amp;stepCode=56&amp;readOnly=0&amp;curUserCode=13610183743&amp;sysCode=MD_YJT_OA&amp;tenantCode=GDSXXZX&amp;r=0.631519215706027&amp;fileCode=60b531156cfe492c8d570c6d8dfb1fbe&amp;id=60b531156cfe492c8d570c6d8dfb1fbe&amp;docTempCode=&amp;userUuid=4a21c71db08e4d8cae2f9cece3c89b88</vt:lpwstr>
  </property>
  <property fmtid="{D5CDD505-2E9C-101B-9397-08002B2CF9AE}" pid="22" name="ribbonExt">
    <vt:lpwstr>{"WPSExtOfficeTab":{"OnGetEnabled":true,"OnGetVisible":true},"btnUploadOA":{"OnGetEnabled":true,"OnGetVisible":true,"OnGetLabel":"保存","GetImage":"icon/uploadoa.ico"},"btnSaveAsLocal":{"OnGetEnabled":true,"OnGetVisible":true,"OnGetLabel":"另存文件","GetImage":"icon/DecomposeDoc.ico"},"btnImportDoc":{"OnGetEnabled":false,"OnGetVisible":false,"OnGetLabel":"导入正文","GetImage":"icon/ImportDoc.ico"},"btnImportTemp":{"OnGetEnabled":false,"OnGetVisible":false,"OnGetLabel":"导入正文模板","GetImage":"icon/show.ico"},"btnInsertRedHeader":{"OnGetEnabled":true,"OnGetVisible":true,"OnGetLabel":"套红头","GetImage":"icon/red.ico"},"btnClearRevDoc":{"OnGetEnabled":false,"OnGetVisible":false,"OnGetLabel":"清稿","GetImage":"icon/yes.ico"},"btnUploadOAbeifen":{"OnGetEnabled":false,"OnGetVisible":false,"OnGetLabel":"备份正文","GetImage":"icon/uploadoa.ico"},"btnPrintDOC":{"OnGetEnabled":false,"OnGetVisible":false,"OnGetLabel":"打印","GetImage":"icon/printdoc.ico"},"btnShowRevision":{"OnGetEnabled":true,"OnGetVisible":true,"OnGetLabel":"痕迹","GetImage":"icon/ShowRevision.ico"},"btnOpenOA":{"OnGetEnabled":false,"OnGetVisible":false,"OnGetLabel":"打开OA","GetImage":"icon/oa.ico"},"btnOpenScan":{"OnGetEnabled":false,"OnGetVisible":false,"OnGetLabel":"打开扫描仪","GetImage":"icon/openscan.ico"},"btnPageSetup":{"OnGetEnabled":false,"OnGetVisible":false,"OnGetLabel":"页面设置","GetImage":"icon/pagesetup.ico"},"btnInsertDate":{"OnGetEnabled":false,"OnGetVisible":false,"OnGetLabel":"插入时间","GetImage":"icon/time.ico"},"btnInsertPic":{"OnGetEnabled":false,"OnGetVisible":false,"OnGetLabel":"插入图片","GetImage":"icon/erweima.ico"},"btnChangeToPDF":{"OnGetEnabled":false,"OnGetVisible":false,"OnGetLabel":"转PDF上传","GetImage":"icon/pdf.ico"},"btnChangeToUOT":{"OnGetEnabled":false,"OnGetVisible":false,"OnGetLabel":"转UOT上传","GetImage":"icon/show.ico"},"btnFilePath":{"OnGetVisible":false,"OnGetLabel":"OA文件信息："},"btnAboutAssist":{"OnGetEnabled":false,"GetImage":"icon/help.ico"},"btnDocCheck":{"OnGetEnabled":false,"GetImage":"icon/btnDocInfo.ico"},"btnSelectBookmark":{"OnGetEnabled":false,"GetImage":"icon/bookmark.ico"},"btnAcceptAllRevisions":{"OnGetEnabled":false,"OnGetVisible":false,"OnGetLabel":"接受修订","GetImage":"icon/yes.ico"},"btnRejectAllRevisions":{"OnGetEnabled":false,"OnGetVisible":false,"OnGetLabel":"拒绝修订","GetImage":"icon/no.ico"}}</vt:lpwstr>
  </property>
  <property fmtid="{D5CDD505-2E9C-101B-9397-08002B2CF9AE}" pid="23" name="showSavePromptFlag">
    <vt:lpwstr>true</vt:lpwstr>
  </property>
  <property fmtid="{D5CDD505-2E9C-101B-9397-08002B2CF9AE}" pid="24" name="userName">
    <vt:lpwstr>霍泽坚</vt:lpwstr>
  </property>
  <property fmtid="{D5CDD505-2E9C-101B-9397-08002B2CF9AE}" pid="25" name="showFlag">
    <vt:bool>false</vt:bool>
  </property>
  <property fmtid="{D5CDD505-2E9C-101B-9397-08002B2CF9AE}" pid="26" name="ICV">
    <vt:lpwstr>C365871696BF4F9AA77F7E033568ADF0_13</vt:lpwstr>
  </property>
</Properties>
</file>